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DBD52" w14:textId="65E150A3" w:rsidR="00497F11" w:rsidRDefault="0043363F" w:rsidP="00497F11">
      <w:pPr>
        <w:jc w:val="center"/>
        <w:rPr>
          <w:rFonts w:ascii="Times New Roman" w:hAnsi="Times New Roman" w:cs="Times New Roman"/>
          <w:b/>
          <w:sz w:val="28"/>
          <w:szCs w:val="28"/>
        </w:rPr>
      </w:pPr>
      <w:r>
        <w:rPr>
          <w:rFonts w:ascii="Times New Roman" w:hAnsi="Times New Roman" w:cs="Times New Roman"/>
          <w:b/>
          <w:sz w:val="28"/>
          <w:szCs w:val="28"/>
        </w:rPr>
        <w:t>МОНІТОРТНГ</w:t>
      </w:r>
      <w:r w:rsidR="00497F11" w:rsidRPr="00B21ECC">
        <w:rPr>
          <w:rFonts w:ascii="Times New Roman" w:hAnsi="Times New Roman" w:cs="Times New Roman"/>
          <w:b/>
          <w:sz w:val="28"/>
          <w:szCs w:val="28"/>
        </w:rPr>
        <w:t xml:space="preserve"> ЯКОСТІ ОСВІТИ</w:t>
      </w:r>
    </w:p>
    <w:p w14:paraId="0FDF7900" w14:textId="77777777" w:rsidR="0043363F" w:rsidRPr="00B21ECC" w:rsidRDefault="0043363F" w:rsidP="00497F11">
      <w:pPr>
        <w:jc w:val="center"/>
        <w:rPr>
          <w:rFonts w:ascii="Times New Roman" w:hAnsi="Times New Roman" w:cs="Times New Roman"/>
          <w:b/>
          <w:sz w:val="28"/>
          <w:szCs w:val="28"/>
        </w:rPr>
      </w:pPr>
    </w:p>
    <w:p w14:paraId="4074D8D7" w14:textId="77777777" w:rsidR="00497F11" w:rsidRPr="00075543" w:rsidRDefault="00497F11" w:rsidP="00497F11">
      <w:pPr>
        <w:ind w:firstLine="708"/>
        <w:rPr>
          <w:rFonts w:ascii="Times New Roman" w:hAnsi="Times New Roman" w:cs="Times New Roman"/>
          <w:sz w:val="28"/>
          <w:szCs w:val="28"/>
        </w:rPr>
      </w:pPr>
      <w:r w:rsidRPr="00075543">
        <w:rPr>
          <w:rFonts w:ascii="Times New Roman" w:hAnsi="Times New Roman" w:cs="Times New Roman"/>
          <w:sz w:val="28"/>
          <w:szCs w:val="28"/>
        </w:rPr>
        <w:t>Забезпечення якості в Європейському просторі вищої освіти є ключовим чинником розвитку взаємної довіри країн та закладів освіти, підвищення мобільності та справедливого визнання кваліфікацій і періодів навчання.</w:t>
      </w:r>
    </w:p>
    <w:p w14:paraId="5DAF9914" w14:textId="77777777" w:rsidR="00497F11" w:rsidRPr="00075543" w:rsidRDefault="00497F11" w:rsidP="00497F11">
      <w:pPr>
        <w:ind w:firstLine="708"/>
        <w:rPr>
          <w:rFonts w:ascii="Times New Roman" w:hAnsi="Times New Roman" w:cs="Times New Roman"/>
          <w:sz w:val="28"/>
          <w:szCs w:val="28"/>
        </w:rPr>
      </w:pPr>
      <w:r w:rsidRPr="00075543">
        <w:rPr>
          <w:rFonts w:ascii="Times New Roman" w:hAnsi="Times New Roman" w:cs="Times New Roman"/>
          <w:sz w:val="28"/>
          <w:szCs w:val="28"/>
        </w:rPr>
        <w:t>Внутрішнє забезпечення якості освіти - цілісна система об'єктивних та обґрунтованих діагностичних й оціночних процедур, сукупність організаційних, методичних і нормативних документів, що регламентують ефективне управління якістю.</w:t>
      </w:r>
    </w:p>
    <w:p w14:paraId="34908077" w14:textId="77777777" w:rsidR="00497F11" w:rsidRDefault="00497F11" w:rsidP="00497F11">
      <w:pPr>
        <w:ind w:firstLine="708"/>
        <w:rPr>
          <w:rFonts w:ascii="Times New Roman" w:hAnsi="Times New Roman" w:cs="Times New Roman"/>
          <w:sz w:val="28"/>
          <w:szCs w:val="28"/>
        </w:rPr>
      </w:pPr>
      <w:r w:rsidRPr="00075543">
        <w:rPr>
          <w:rFonts w:ascii="Times New Roman" w:hAnsi="Times New Roman" w:cs="Times New Roman"/>
          <w:sz w:val="28"/>
          <w:szCs w:val="28"/>
        </w:rPr>
        <w:t>Політика якості освітньої діяльності та вищої освіти та інші внутрішні акти ґрунтуються на Законах України «Про освіту», «Про</w:t>
      </w:r>
      <w:r>
        <w:rPr>
          <w:rFonts w:ascii="Times New Roman" w:hAnsi="Times New Roman" w:cs="Times New Roman"/>
          <w:sz w:val="28"/>
          <w:szCs w:val="28"/>
        </w:rPr>
        <w:t xml:space="preserve"> фахову перед</w:t>
      </w:r>
      <w:r w:rsidRPr="00075543">
        <w:rPr>
          <w:rFonts w:ascii="Times New Roman" w:hAnsi="Times New Roman" w:cs="Times New Roman"/>
          <w:sz w:val="28"/>
          <w:szCs w:val="28"/>
        </w:rPr>
        <w:t xml:space="preserve"> вищу освіту», Національній рамці кваліфікацій, Ліцензійних умовах провадження освітньої діяльності, Положенні про акредитацію </w:t>
      </w:r>
    </w:p>
    <w:p w14:paraId="269D13CC"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освітніх програм, вимогах Стандартів і рекомендацій щодо забезпечення якості в Європейському просторі вищої освіти.</w:t>
      </w:r>
    </w:p>
    <w:p w14:paraId="730D4648" w14:textId="77777777" w:rsidR="00497F11" w:rsidRPr="00075543" w:rsidRDefault="00497F11" w:rsidP="00497F11">
      <w:pPr>
        <w:ind w:firstLine="708"/>
        <w:rPr>
          <w:rFonts w:ascii="Times New Roman" w:hAnsi="Times New Roman" w:cs="Times New Roman"/>
          <w:sz w:val="28"/>
          <w:szCs w:val="28"/>
        </w:rPr>
      </w:pPr>
      <w:r w:rsidRPr="00075543">
        <w:rPr>
          <w:rFonts w:ascii="Times New Roman" w:hAnsi="Times New Roman" w:cs="Times New Roman"/>
          <w:sz w:val="28"/>
          <w:szCs w:val="28"/>
        </w:rPr>
        <w:t xml:space="preserve">Система внутрішнього забезпечення якості освітньої діяльності та </w:t>
      </w:r>
      <w:r>
        <w:rPr>
          <w:rFonts w:ascii="Times New Roman" w:hAnsi="Times New Roman" w:cs="Times New Roman"/>
          <w:sz w:val="28"/>
          <w:szCs w:val="28"/>
        </w:rPr>
        <w:t>коледжу</w:t>
      </w:r>
      <w:r w:rsidRPr="00075543">
        <w:rPr>
          <w:rFonts w:ascii="Times New Roman" w:hAnsi="Times New Roman" w:cs="Times New Roman"/>
          <w:sz w:val="28"/>
          <w:szCs w:val="28"/>
        </w:rPr>
        <w:t xml:space="preserve"> передбачає:</w:t>
      </w:r>
    </w:p>
    <w:p w14:paraId="5F4E3BCE" w14:textId="77777777" w:rsidR="00497F11" w:rsidRPr="00B21ECC" w:rsidRDefault="00497F11" w:rsidP="00497F11">
      <w:pPr>
        <w:ind w:firstLine="708"/>
        <w:rPr>
          <w:rFonts w:ascii="Times New Roman" w:hAnsi="Times New Roman" w:cs="Times New Roman"/>
          <w:i/>
          <w:sz w:val="28"/>
          <w:szCs w:val="28"/>
        </w:rPr>
      </w:pPr>
      <w:r w:rsidRPr="00075543">
        <w:rPr>
          <w:rFonts w:ascii="Times New Roman" w:hAnsi="Times New Roman" w:cs="Times New Roman"/>
          <w:sz w:val="28"/>
          <w:szCs w:val="28"/>
        </w:rPr>
        <w:t>1)</w:t>
      </w:r>
      <w:r w:rsidRPr="00075543">
        <w:rPr>
          <w:rFonts w:ascii="Times New Roman" w:hAnsi="Times New Roman" w:cs="Times New Roman"/>
          <w:sz w:val="28"/>
          <w:szCs w:val="28"/>
        </w:rPr>
        <w:tab/>
      </w:r>
      <w:r w:rsidRPr="00B21ECC">
        <w:rPr>
          <w:rFonts w:ascii="Times New Roman" w:hAnsi="Times New Roman" w:cs="Times New Roman"/>
          <w:i/>
          <w:sz w:val="28"/>
          <w:szCs w:val="28"/>
        </w:rPr>
        <w:t>здійснення моніторингу та періодичний перегляд освітніх програм з метою забезпечення їх якості завдяки:</w:t>
      </w:r>
    </w:p>
    <w:p w14:paraId="57592D38"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послідовному дотриманню визначених процедур розроблення, затвердження, моніторингу та періодичного перегляду;</w:t>
      </w:r>
    </w:p>
    <w:p w14:paraId="13289FF4"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залученню здобувачів освіти як партнерів безпосередньо та через органи студентського самоврядування до процесу періодичного перегляду освітніх програм та інших процедур забезпечення їх якості;</w:t>
      </w:r>
    </w:p>
    <w:p w14:paraId="188D089E"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урахуванню позиції здобувачів освіти під час перегляду освітніх програм;</w:t>
      </w:r>
    </w:p>
    <w:p w14:paraId="759058FB"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залученню роботодавців як партнерів безпосередньо та через свої об'єднання до процесу періодичного перегляду освітніх програм та інших процедур забезпечення їх якості;</w:t>
      </w:r>
    </w:p>
    <w:p w14:paraId="3DB28F3E"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збиранню, аналізу та врахуванню інформації щодо кар’єрного шляху випускників освітніх програм;</w:t>
      </w:r>
    </w:p>
    <w:p w14:paraId="062E1352"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вчасному реагуванню на виявлені недоліки в освітніх програм та освітньої діяльності з їх реалізації;</w:t>
      </w:r>
    </w:p>
    <w:p w14:paraId="30A7E371"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урахуванню під час перегляду освітніх програмах результатів зовнішнього забезпечення якості освіти (зокрема, зауваження та пропозиції, сформульовані під час попередніх акредитацій);</w:t>
      </w:r>
    </w:p>
    <w:p w14:paraId="33CD37CC" w14:textId="77777777" w:rsidR="00497F11"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формуванню культури якості, що сприяє постійному розвитку </w:t>
      </w:r>
    </w:p>
    <w:p w14:paraId="238E5EB3"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освітніх програм та освітньої діяльності за цими програмами;</w:t>
      </w:r>
    </w:p>
    <w:p w14:paraId="27D3C528" w14:textId="77777777" w:rsidR="00497F11" w:rsidRPr="00D7290E" w:rsidRDefault="00497F11" w:rsidP="00497F11">
      <w:pPr>
        <w:ind w:firstLine="708"/>
        <w:rPr>
          <w:rFonts w:ascii="Times New Roman" w:hAnsi="Times New Roman" w:cs="Times New Roman"/>
          <w:i/>
          <w:sz w:val="28"/>
          <w:szCs w:val="28"/>
        </w:rPr>
      </w:pPr>
      <w:r w:rsidRPr="00D7290E">
        <w:rPr>
          <w:rFonts w:ascii="Times New Roman" w:hAnsi="Times New Roman" w:cs="Times New Roman"/>
          <w:i/>
          <w:sz w:val="28"/>
          <w:szCs w:val="28"/>
        </w:rPr>
        <w:t>2)</w:t>
      </w:r>
      <w:r w:rsidRPr="00D7290E">
        <w:rPr>
          <w:rFonts w:ascii="Times New Roman" w:hAnsi="Times New Roman" w:cs="Times New Roman"/>
          <w:i/>
          <w:sz w:val="28"/>
          <w:szCs w:val="28"/>
        </w:rPr>
        <w:tab/>
        <w:t>щорічне оцінювання здобувачів освіти і педагогічних працівників закладу вищої освіти шляхом:</w:t>
      </w:r>
    </w:p>
    <w:p w14:paraId="023F57FE"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використання прозорих, чітких, зрозумілих форм контрольних заходів та критеріїв оцінювання здобувачів освіти дають можливість</w:t>
      </w:r>
    </w:p>
    <w:p w14:paraId="531F5130"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встановити досягнення здобувачем освіти результатів навчання для окремого освітнього компонента та освітньої програми в цілому;</w:t>
      </w:r>
    </w:p>
    <w:p w14:paraId="737A74D4"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відповідності форм атестації здобувачів освіти вимогам стандарту</w:t>
      </w:r>
      <w:r>
        <w:rPr>
          <w:rFonts w:ascii="Times New Roman" w:hAnsi="Times New Roman" w:cs="Times New Roman"/>
          <w:sz w:val="28"/>
          <w:szCs w:val="28"/>
        </w:rPr>
        <w:t>;</w:t>
      </w:r>
      <w:r w:rsidRPr="00075543">
        <w:rPr>
          <w:rFonts w:ascii="Times New Roman" w:hAnsi="Times New Roman" w:cs="Times New Roman"/>
          <w:sz w:val="28"/>
          <w:szCs w:val="28"/>
        </w:rPr>
        <w:t xml:space="preserve"> </w:t>
      </w:r>
    </w:p>
    <w:p w14:paraId="3BE0EA6B"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чітких та зрозумілих правил проведення контрольних заходів, що є доступними для всіх учасників освітнього процесу, які забезпечують об’єктивність екзаменаторів, охоплюють процедури запобігання та </w:t>
      </w:r>
      <w:r w:rsidRPr="00075543">
        <w:rPr>
          <w:rFonts w:ascii="Times New Roman" w:hAnsi="Times New Roman" w:cs="Times New Roman"/>
          <w:sz w:val="28"/>
          <w:szCs w:val="28"/>
        </w:rPr>
        <w:lastRenderedPageBreak/>
        <w:t>врегулювання конфлікту інтересів, визначають порядок оскарження результатів контрольних заходів і їх повторного проходження, та яких послідовно дотримуються під час реалізації програм;</w:t>
      </w:r>
    </w:p>
    <w:p w14:paraId="3E8DD906"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рейтингування </w:t>
      </w:r>
      <w:r>
        <w:rPr>
          <w:rFonts w:ascii="Times New Roman" w:hAnsi="Times New Roman" w:cs="Times New Roman"/>
          <w:sz w:val="28"/>
          <w:szCs w:val="28"/>
        </w:rPr>
        <w:t xml:space="preserve">педагогічних </w:t>
      </w:r>
      <w:r w:rsidRPr="00075543">
        <w:rPr>
          <w:rFonts w:ascii="Times New Roman" w:hAnsi="Times New Roman" w:cs="Times New Roman"/>
          <w:sz w:val="28"/>
          <w:szCs w:val="28"/>
        </w:rPr>
        <w:t>працівників за індикаторами результативності відповідно до Ліцензійних умов провадження освітньої діяльності;</w:t>
      </w:r>
    </w:p>
    <w:p w14:paraId="62CB7FF6"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регулярного оприлюднення результатів оцінювань на офіційному </w:t>
      </w:r>
      <w:proofErr w:type="spellStart"/>
      <w:r w:rsidRPr="00075543">
        <w:rPr>
          <w:rFonts w:ascii="Times New Roman" w:hAnsi="Times New Roman" w:cs="Times New Roman"/>
          <w:sz w:val="28"/>
          <w:szCs w:val="28"/>
        </w:rPr>
        <w:t>вебсайті</w:t>
      </w:r>
      <w:proofErr w:type="spellEnd"/>
      <w:r w:rsidRPr="00075543">
        <w:rPr>
          <w:rFonts w:ascii="Times New Roman" w:hAnsi="Times New Roman" w:cs="Times New Roman"/>
          <w:sz w:val="28"/>
          <w:szCs w:val="28"/>
        </w:rPr>
        <w:t xml:space="preserve"> та в будь-який інший спосіб;</w:t>
      </w:r>
    </w:p>
    <w:p w14:paraId="33F8F6D4" w14:textId="77777777" w:rsidR="00497F11" w:rsidRDefault="00497F11" w:rsidP="00497F11">
      <w:pPr>
        <w:ind w:firstLine="708"/>
        <w:rPr>
          <w:rFonts w:ascii="Times New Roman" w:hAnsi="Times New Roman" w:cs="Times New Roman"/>
          <w:i/>
          <w:sz w:val="28"/>
          <w:szCs w:val="28"/>
        </w:rPr>
      </w:pPr>
      <w:r w:rsidRPr="00D7290E">
        <w:rPr>
          <w:rFonts w:ascii="Times New Roman" w:hAnsi="Times New Roman" w:cs="Times New Roman"/>
          <w:i/>
          <w:sz w:val="28"/>
          <w:szCs w:val="28"/>
        </w:rPr>
        <w:t>3)</w:t>
      </w:r>
      <w:r w:rsidRPr="00D7290E">
        <w:rPr>
          <w:rFonts w:ascii="Times New Roman" w:hAnsi="Times New Roman" w:cs="Times New Roman"/>
          <w:i/>
          <w:sz w:val="28"/>
          <w:szCs w:val="28"/>
        </w:rPr>
        <w:tab/>
        <w:t>підвищення кваліфікації педагогічних працівників з метою забезпечення:</w:t>
      </w:r>
    </w:p>
    <w:p w14:paraId="71220385"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розвитку викладацької </w:t>
      </w:r>
      <w:r>
        <w:rPr>
          <w:rFonts w:ascii="Times New Roman" w:hAnsi="Times New Roman" w:cs="Times New Roman"/>
          <w:sz w:val="28"/>
          <w:szCs w:val="28"/>
        </w:rPr>
        <w:t xml:space="preserve">майстерності педагогічних </w:t>
      </w:r>
      <w:r w:rsidRPr="00075543">
        <w:rPr>
          <w:rFonts w:ascii="Times New Roman" w:hAnsi="Times New Roman" w:cs="Times New Roman"/>
          <w:sz w:val="28"/>
          <w:szCs w:val="28"/>
        </w:rPr>
        <w:t>працівників;</w:t>
      </w:r>
    </w:p>
    <w:p w14:paraId="40EE03B9"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відповідності професійної кваліфікації викладачів, необхідної для реалізації цілей та програмних результатів навчання освітньої програми;</w:t>
      </w:r>
    </w:p>
    <w:p w14:paraId="0611942C"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кадрового потенціалу </w:t>
      </w:r>
      <w:r>
        <w:rPr>
          <w:rFonts w:ascii="Times New Roman" w:hAnsi="Times New Roman" w:cs="Times New Roman"/>
          <w:sz w:val="28"/>
          <w:szCs w:val="28"/>
        </w:rPr>
        <w:t xml:space="preserve">для педагогічної </w:t>
      </w:r>
      <w:r w:rsidRPr="00075543">
        <w:rPr>
          <w:rFonts w:ascii="Times New Roman" w:hAnsi="Times New Roman" w:cs="Times New Roman"/>
          <w:sz w:val="28"/>
          <w:szCs w:val="28"/>
        </w:rPr>
        <w:t>діяльності, розробки й впровадженню інноваційних розробок;</w:t>
      </w:r>
    </w:p>
    <w:p w14:paraId="6B6E05CB"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створення умов для відбору й просуванню молодих лідерів академічної спільноти;</w:t>
      </w:r>
    </w:p>
    <w:p w14:paraId="76E12438" w14:textId="77777777" w:rsidR="00497F11" w:rsidRPr="00825BD2" w:rsidRDefault="00497F11" w:rsidP="00497F11">
      <w:pPr>
        <w:ind w:firstLine="708"/>
        <w:rPr>
          <w:rFonts w:ascii="Times New Roman" w:hAnsi="Times New Roman" w:cs="Times New Roman"/>
          <w:i/>
          <w:sz w:val="28"/>
          <w:szCs w:val="28"/>
        </w:rPr>
      </w:pPr>
      <w:r w:rsidRPr="00825BD2">
        <w:rPr>
          <w:rFonts w:ascii="Times New Roman" w:hAnsi="Times New Roman" w:cs="Times New Roman"/>
          <w:i/>
          <w:sz w:val="28"/>
          <w:szCs w:val="28"/>
        </w:rPr>
        <w:t>4)</w:t>
      </w:r>
      <w:r w:rsidRPr="00825BD2">
        <w:rPr>
          <w:rFonts w:ascii="Times New Roman" w:hAnsi="Times New Roman" w:cs="Times New Roman"/>
          <w:i/>
          <w:sz w:val="28"/>
          <w:szCs w:val="28"/>
        </w:rPr>
        <w:tab/>
        <w:t>забезпечення необхідними ресурсами для організації освітнього процесу, у тому числі самостійної роботи студентів, за кожною освітньою програмою шляхом:</w:t>
      </w:r>
    </w:p>
    <w:p w14:paraId="363772B4"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формування достатніх фінансових та матеріально-технічних ресурсів (бібліотека, інша інфраструктура, обладнання тощо), а також навчально- методичного забезпечення для досягнення визначених освітньою програмою цілей та програмних результатів навчання;</w:t>
      </w:r>
    </w:p>
    <w:p w14:paraId="08382EB3"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безоплатного доступу викладачів і здобувачів освіти до відповідної інфраструктури та інформаційних ресурсів, потрібних для навчання, викладацької та/або наукової діяльності в межах освітньої програми;</w:t>
      </w:r>
    </w:p>
    <w:p w14:paraId="6E642B31"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створення безпечного для життя і здоров’я здобувачів освіти освітнього середовища, що дає можливість задовольнити їхні потреби та інтереси;</w:t>
      </w:r>
    </w:p>
    <w:p w14:paraId="13D9F06A"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освітньої, організаційної, інформаційної, консультативної та соціальної підтримки здобувачів освіти;</w:t>
      </w:r>
    </w:p>
    <w:p w14:paraId="2AE8BE7E"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створення достатніх умов щодо реалізації права на освіту для осіб з особливими освітніми потребами, які навчаються за освітньою програмою;</w:t>
      </w:r>
    </w:p>
    <w:p w14:paraId="3DE0B327" w14:textId="77777777" w:rsidR="00497F11"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формування чітких і зрозумілих політики та процедур вирішення конфліктних ситуацій (зокрема, пов’язаних із сексуальними домаганнями,</w:t>
      </w:r>
    </w:p>
    <w:p w14:paraId="3C4AA53F"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дискримінацією та/або корупцією тощо), які послідовно дотримуються під час реалізації освітньої програми;</w:t>
      </w:r>
    </w:p>
    <w:p w14:paraId="16B23489" w14:textId="77777777" w:rsidR="00497F11" w:rsidRPr="00825BD2" w:rsidRDefault="00497F11" w:rsidP="00497F11">
      <w:pPr>
        <w:ind w:firstLine="708"/>
        <w:rPr>
          <w:rFonts w:ascii="Times New Roman" w:hAnsi="Times New Roman" w:cs="Times New Roman"/>
          <w:i/>
          <w:sz w:val="28"/>
          <w:szCs w:val="28"/>
        </w:rPr>
      </w:pPr>
      <w:r w:rsidRPr="00825BD2">
        <w:rPr>
          <w:rFonts w:ascii="Times New Roman" w:hAnsi="Times New Roman" w:cs="Times New Roman"/>
          <w:i/>
          <w:sz w:val="28"/>
          <w:szCs w:val="28"/>
        </w:rPr>
        <w:t>5)</w:t>
      </w:r>
      <w:r w:rsidRPr="00825BD2">
        <w:rPr>
          <w:rFonts w:ascii="Times New Roman" w:hAnsi="Times New Roman" w:cs="Times New Roman"/>
          <w:i/>
          <w:sz w:val="28"/>
          <w:szCs w:val="28"/>
        </w:rPr>
        <w:tab/>
        <w:t>застосування інформаційних систем для ефективного управління освітнім процесом шляхом визначення чітких та зрозумілих правил і процедур, що регулюють права та обов'язки всіх учасників освітнього процесу, є доступними для них та яких послідовно дотримуються під час реалізації освітньої програми;</w:t>
      </w:r>
    </w:p>
    <w:p w14:paraId="4D962CA8" w14:textId="77777777" w:rsidR="00497F11" w:rsidRPr="00825BD2" w:rsidRDefault="00497F11" w:rsidP="00497F11">
      <w:pPr>
        <w:ind w:firstLine="708"/>
        <w:rPr>
          <w:rFonts w:ascii="Times New Roman" w:hAnsi="Times New Roman" w:cs="Times New Roman"/>
          <w:i/>
          <w:sz w:val="28"/>
          <w:szCs w:val="28"/>
        </w:rPr>
      </w:pPr>
      <w:r w:rsidRPr="00825BD2">
        <w:rPr>
          <w:rFonts w:ascii="Times New Roman" w:hAnsi="Times New Roman" w:cs="Times New Roman"/>
          <w:i/>
          <w:sz w:val="28"/>
          <w:szCs w:val="28"/>
        </w:rPr>
        <w:t>6)</w:t>
      </w:r>
      <w:r w:rsidRPr="00825BD2">
        <w:rPr>
          <w:rFonts w:ascii="Times New Roman" w:hAnsi="Times New Roman" w:cs="Times New Roman"/>
          <w:i/>
          <w:sz w:val="28"/>
          <w:szCs w:val="28"/>
        </w:rPr>
        <w:tab/>
        <w:t>публічність інформації про освітні програми, ступені освіти та кваліфікації шляхом:</w:t>
      </w:r>
    </w:p>
    <w:p w14:paraId="153C0E6A"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оприлюднення на офіційному </w:t>
      </w:r>
      <w:proofErr w:type="spellStart"/>
      <w:r w:rsidRPr="00075543">
        <w:rPr>
          <w:rFonts w:ascii="Times New Roman" w:hAnsi="Times New Roman" w:cs="Times New Roman"/>
          <w:sz w:val="28"/>
          <w:szCs w:val="28"/>
        </w:rPr>
        <w:t>вебсайті</w:t>
      </w:r>
      <w:proofErr w:type="spellEnd"/>
      <w:r w:rsidRPr="00075543">
        <w:rPr>
          <w:rFonts w:ascii="Times New Roman" w:hAnsi="Times New Roman" w:cs="Times New Roman"/>
          <w:sz w:val="28"/>
          <w:szCs w:val="28"/>
        </w:rPr>
        <w:t xml:space="preserve"> проекту освітньої програми не пізніше ніж за місяць до затвердження або змін до неї;</w:t>
      </w:r>
    </w:p>
    <w:p w14:paraId="3C01A2C5"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 xml:space="preserve">оприлюднення на своєму офіційному </w:t>
      </w:r>
      <w:proofErr w:type="spellStart"/>
      <w:r w:rsidRPr="00075543">
        <w:rPr>
          <w:rFonts w:ascii="Times New Roman" w:hAnsi="Times New Roman" w:cs="Times New Roman"/>
          <w:sz w:val="28"/>
          <w:szCs w:val="28"/>
        </w:rPr>
        <w:t>вебсайті</w:t>
      </w:r>
      <w:proofErr w:type="spellEnd"/>
      <w:r w:rsidRPr="00075543">
        <w:rPr>
          <w:rFonts w:ascii="Times New Roman" w:hAnsi="Times New Roman" w:cs="Times New Roman"/>
          <w:sz w:val="28"/>
          <w:szCs w:val="28"/>
        </w:rPr>
        <w:t xml:space="preserve"> точної та достовірної </w:t>
      </w:r>
      <w:r w:rsidRPr="00075543">
        <w:rPr>
          <w:rFonts w:ascii="Times New Roman" w:hAnsi="Times New Roman" w:cs="Times New Roman"/>
          <w:sz w:val="28"/>
          <w:szCs w:val="28"/>
        </w:rPr>
        <w:lastRenderedPageBreak/>
        <w:t>інформації про освітню програму в обсязі, достатньому для інформування відповідних заінтересованих сторін та суспільства;</w:t>
      </w:r>
    </w:p>
    <w:p w14:paraId="25CE2421" w14:textId="77777777" w:rsidR="00497F11" w:rsidRDefault="00497F11" w:rsidP="00497F11">
      <w:pPr>
        <w:ind w:firstLine="708"/>
        <w:rPr>
          <w:rFonts w:ascii="Times New Roman" w:hAnsi="Times New Roman" w:cs="Times New Roman"/>
          <w:i/>
          <w:sz w:val="28"/>
          <w:szCs w:val="28"/>
        </w:rPr>
      </w:pPr>
      <w:r w:rsidRPr="00825BD2">
        <w:rPr>
          <w:rFonts w:ascii="Times New Roman" w:hAnsi="Times New Roman" w:cs="Times New Roman"/>
          <w:i/>
          <w:sz w:val="28"/>
          <w:szCs w:val="28"/>
        </w:rPr>
        <w:t>7)</w:t>
      </w:r>
      <w:r w:rsidRPr="00825BD2">
        <w:rPr>
          <w:rFonts w:ascii="Times New Roman" w:hAnsi="Times New Roman" w:cs="Times New Roman"/>
          <w:i/>
          <w:sz w:val="28"/>
          <w:szCs w:val="28"/>
        </w:rPr>
        <w:tab/>
        <w:t>дотримання академічної доброчесності працівниками</w:t>
      </w:r>
      <w:r w:rsidRPr="00825D32">
        <w:rPr>
          <w:rFonts w:ascii="Times New Roman" w:hAnsi="Times New Roman" w:cs="Times New Roman"/>
          <w:i/>
          <w:sz w:val="28"/>
          <w:szCs w:val="28"/>
        </w:rPr>
        <w:t xml:space="preserve"> </w:t>
      </w:r>
      <w:r w:rsidRPr="00825BD2">
        <w:rPr>
          <w:rFonts w:ascii="Times New Roman" w:hAnsi="Times New Roman" w:cs="Times New Roman"/>
          <w:i/>
          <w:sz w:val="28"/>
          <w:szCs w:val="28"/>
        </w:rPr>
        <w:t xml:space="preserve">закладів </w:t>
      </w:r>
      <w:r>
        <w:rPr>
          <w:rFonts w:ascii="Times New Roman" w:hAnsi="Times New Roman" w:cs="Times New Roman"/>
          <w:i/>
          <w:sz w:val="28"/>
          <w:szCs w:val="28"/>
        </w:rPr>
        <w:t xml:space="preserve">фахової </w:t>
      </w:r>
      <w:proofErr w:type="spellStart"/>
      <w:r>
        <w:rPr>
          <w:rFonts w:ascii="Times New Roman" w:hAnsi="Times New Roman" w:cs="Times New Roman"/>
          <w:i/>
          <w:sz w:val="28"/>
          <w:szCs w:val="28"/>
        </w:rPr>
        <w:t>передвищої</w:t>
      </w:r>
      <w:proofErr w:type="spellEnd"/>
      <w:r>
        <w:rPr>
          <w:rFonts w:ascii="Times New Roman" w:hAnsi="Times New Roman" w:cs="Times New Roman"/>
          <w:i/>
          <w:sz w:val="28"/>
          <w:szCs w:val="28"/>
        </w:rPr>
        <w:t xml:space="preserve"> </w:t>
      </w:r>
      <w:r w:rsidRPr="00825BD2">
        <w:rPr>
          <w:rFonts w:ascii="Times New Roman" w:hAnsi="Times New Roman" w:cs="Times New Roman"/>
          <w:i/>
          <w:sz w:val="28"/>
          <w:szCs w:val="28"/>
        </w:rPr>
        <w:t>освіти, здобувачами ї освіти</w:t>
      </w:r>
      <w:r>
        <w:rPr>
          <w:rFonts w:ascii="Times New Roman" w:hAnsi="Times New Roman" w:cs="Times New Roman"/>
          <w:i/>
          <w:sz w:val="28"/>
          <w:szCs w:val="28"/>
        </w:rPr>
        <w:t>.</w:t>
      </w:r>
    </w:p>
    <w:p w14:paraId="704CC12E" w14:textId="77777777" w:rsidR="00497F11" w:rsidRPr="00075543" w:rsidRDefault="00497F11" w:rsidP="00497F11">
      <w:pPr>
        <w:rPr>
          <w:rFonts w:ascii="Times New Roman" w:hAnsi="Times New Roman" w:cs="Times New Roman"/>
          <w:sz w:val="28"/>
          <w:szCs w:val="28"/>
        </w:rPr>
      </w:pPr>
      <w:r w:rsidRPr="00825BD2">
        <w:rPr>
          <w:rFonts w:ascii="Times New Roman" w:hAnsi="Times New Roman" w:cs="Times New Roman"/>
          <w:i/>
          <w:sz w:val="28"/>
          <w:szCs w:val="28"/>
        </w:rPr>
        <w:t xml:space="preserve"> </w:t>
      </w:r>
      <w:r w:rsidRPr="00075543">
        <w:rPr>
          <w:rFonts w:ascii="Times New Roman" w:hAnsi="Times New Roman" w:cs="Times New Roman"/>
          <w:sz w:val="28"/>
          <w:szCs w:val="28"/>
        </w:rPr>
        <w:t>♦</w:t>
      </w:r>
      <w:r w:rsidRPr="00075543">
        <w:rPr>
          <w:rFonts w:ascii="Times New Roman" w:hAnsi="Times New Roman" w:cs="Times New Roman"/>
          <w:sz w:val="28"/>
          <w:szCs w:val="28"/>
        </w:rPr>
        <w:tab/>
        <w:t>чіткої та зрозумілої політики, стандартів і процедур дотримання академічної доброчесності, яких послідовно дотримуються всі учасники освітнього процесу під час реалізації освітньої програми;</w:t>
      </w:r>
    </w:p>
    <w:p w14:paraId="4B9BEE95"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популяризації академічної доброчесності через імплементацію цієї політики у внутрішню культуру якості;</w:t>
      </w:r>
    </w:p>
    <w:p w14:paraId="381CA11F" w14:textId="77777777" w:rsidR="00497F11" w:rsidRPr="00075543" w:rsidRDefault="00497F11" w:rsidP="00497F11">
      <w:pPr>
        <w:rPr>
          <w:rFonts w:ascii="Times New Roman" w:hAnsi="Times New Roman" w:cs="Times New Roman"/>
          <w:sz w:val="28"/>
          <w:szCs w:val="28"/>
        </w:rPr>
      </w:pPr>
      <w:r w:rsidRPr="00075543">
        <w:rPr>
          <w:rFonts w:ascii="Times New Roman" w:hAnsi="Times New Roman" w:cs="Times New Roman"/>
          <w:sz w:val="28"/>
          <w:szCs w:val="28"/>
        </w:rPr>
        <w:t>♦</w:t>
      </w:r>
      <w:r w:rsidRPr="00075543">
        <w:rPr>
          <w:rFonts w:ascii="Times New Roman" w:hAnsi="Times New Roman" w:cs="Times New Roman"/>
          <w:sz w:val="28"/>
          <w:szCs w:val="28"/>
        </w:rPr>
        <w:tab/>
        <w:t>використання відповідних технологічних рішень як інструментів протидії порушенням академічної доброчесності.</w:t>
      </w:r>
    </w:p>
    <w:p w14:paraId="07B25710" w14:textId="3C61A6C7" w:rsidR="008D2A6F" w:rsidRPr="00433BDB" w:rsidRDefault="00497F11" w:rsidP="00433BDB">
      <w:pPr>
        <w:ind w:firstLine="708"/>
        <w:rPr>
          <w:rFonts w:ascii="Times New Roman" w:hAnsi="Times New Roman" w:cs="Times New Roman"/>
          <w:sz w:val="28"/>
          <w:szCs w:val="28"/>
        </w:rPr>
      </w:pPr>
      <w:r>
        <w:rPr>
          <w:rFonts w:ascii="Times New Roman" w:hAnsi="Times New Roman" w:cs="Times New Roman"/>
          <w:sz w:val="28"/>
          <w:szCs w:val="28"/>
        </w:rPr>
        <w:t xml:space="preserve">Коледж </w:t>
      </w:r>
      <w:r w:rsidRPr="00075543">
        <w:rPr>
          <w:rFonts w:ascii="Times New Roman" w:hAnsi="Times New Roman" w:cs="Times New Roman"/>
          <w:sz w:val="28"/>
          <w:szCs w:val="28"/>
        </w:rPr>
        <w:t xml:space="preserve"> здійснює </w:t>
      </w:r>
      <w:proofErr w:type="spellStart"/>
      <w:r w:rsidRPr="00075543">
        <w:rPr>
          <w:rFonts w:ascii="Times New Roman" w:hAnsi="Times New Roman" w:cs="Times New Roman"/>
          <w:sz w:val="28"/>
          <w:szCs w:val="28"/>
        </w:rPr>
        <w:t>самооцінювання</w:t>
      </w:r>
      <w:proofErr w:type="spellEnd"/>
      <w:r w:rsidRPr="00075543">
        <w:rPr>
          <w:rFonts w:ascii="Times New Roman" w:hAnsi="Times New Roman" w:cs="Times New Roman"/>
          <w:sz w:val="28"/>
          <w:szCs w:val="28"/>
        </w:rPr>
        <w:t xml:space="preserve"> освітніх програм та умов їх реалізації, забезпечує подачу заяв на зовнішнє оцінювання якості освіти у порядку та в терміни, визначені законодавством.</w:t>
      </w:r>
    </w:p>
    <w:p w14:paraId="6A37EAD8" w14:textId="7E393D3A" w:rsidR="008D2A6F" w:rsidRDefault="008D2A6F"/>
    <w:p w14:paraId="78F54B21" w14:textId="77777777" w:rsidR="008D2A6F" w:rsidRPr="008D2A6F" w:rsidRDefault="008D2A6F" w:rsidP="00433BDB">
      <w:pPr>
        <w:ind w:firstLine="708"/>
        <w:rPr>
          <w:rFonts w:ascii="Times New Roman" w:hAnsi="Times New Roman" w:cs="Times New Roman"/>
          <w:sz w:val="28"/>
          <w:szCs w:val="28"/>
        </w:rPr>
      </w:pPr>
      <w:bookmarkStart w:id="0" w:name="_GoBack"/>
      <w:bookmarkEnd w:id="0"/>
      <w:r w:rsidRPr="008D2A6F">
        <w:rPr>
          <w:rFonts w:ascii="Times New Roman" w:hAnsi="Times New Roman" w:cs="Times New Roman"/>
          <w:sz w:val="28"/>
          <w:szCs w:val="28"/>
        </w:rPr>
        <w:t xml:space="preserve">Моніторинг якості освіти здійснюються з метою визначення рівня сформованості дисциплінарних </w:t>
      </w:r>
      <w:proofErr w:type="spellStart"/>
      <w:r w:rsidRPr="008D2A6F">
        <w:rPr>
          <w:rFonts w:ascii="Times New Roman" w:hAnsi="Times New Roman" w:cs="Times New Roman"/>
          <w:sz w:val="28"/>
          <w:szCs w:val="28"/>
        </w:rPr>
        <w:t>компетентностей</w:t>
      </w:r>
      <w:proofErr w:type="spellEnd"/>
      <w:r w:rsidRPr="008D2A6F">
        <w:rPr>
          <w:rFonts w:ascii="Times New Roman" w:hAnsi="Times New Roman" w:cs="Times New Roman"/>
          <w:sz w:val="28"/>
          <w:szCs w:val="28"/>
        </w:rPr>
        <w:t xml:space="preserve"> та відповідних результатів навчання, що передбачені робочими програмами навчальних дисциплін шляхом поточного та підсумкового контролю.</w:t>
      </w:r>
    </w:p>
    <w:p w14:paraId="75503B27"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i/>
          <w:sz w:val="28"/>
          <w:szCs w:val="28"/>
        </w:rPr>
        <w:t>Поточний контроль</w:t>
      </w:r>
      <w:r w:rsidRPr="008D2A6F">
        <w:rPr>
          <w:rFonts w:ascii="Times New Roman" w:hAnsi="Times New Roman" w:cs="Times New Roman"/>
          <w:sz w:val="28"/>
          <w:szCs w:val="28"/>
        </w:rPr>
        <w:t xml:space="preserve"> має проводитись для всіх видів аудиторних занять протягом семестру за розкладом.</w:t>
      </w:r>
    </w:p>
    <w:p w14:paraId="21FA4546"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Визначення рівня сформованості дисциплінарних </w:t>
      </w:r>
      <w:proofErr w:type="spellStart"/>
      <w:r w:rsidRPr="008D2A6F">
        <w:rPr>
          <w:rFonts w:ascii="Times New Roman" w:hAnsi="Times New Roman" w:cs="Times New Roman"/>
          <w:sz w:val="28"/>
          <w:szCs w:val="28"/>
        </w:rPr>
        <w:t>компетентностей</w:t>
      </w:r>
      <w:proofErr w:type="spellEnd"/>
      <w:r w:rsidRPr="008D2A6F">
        <w:rPr>
          <w:rFonts w:ascii="Times New Roman" w:hAnsi="Times New Roman" w:cs="Times New Roman"/>
          <w:sz w:val="28"/>
          <w:szCs w:val="28"/>
        </w:rPr>
        <w:t xml:space="preserve"> (результатів навчання) здійснюється за:</w:t>
      </w:r>
    </w:p>
    <w:p w14:paraId="19405CE2"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певним розділом (темою) робочої програми дисципліни (усне опитування, експрес-контроль, комп’ютерне тестування тощо);</w:t>
      </w:r>
    </w:p>
    <w:p w14:paraId="55380465"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практичними заняттями (контрольна робота, перевірка та захист індивідуального завдання, комп’ютерне тестування);</w:t>
      </w:r>
    </w:p>
    <w:p w14:paraId="610D7CAB"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лабораторними роботами (перевірка та захист);</w:t>
      </w:r>
    </w:p>
    <w:p w14:paraId="5D748E20"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семінарськими заняттями (виступ з рефератом, у дискусії).</w:t>
      </w:r>
    </w:p>
    <w:p w14:paraId="5B7D51F1"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Форми проведення поточного контролю та його кількісна оцінка за конкретним видом навчального заняття визначається за критеріями, що регламентовані робочою програмою дисципліни.</w:t>
      </w:r>
    </w:p>
    <w:p w14:paraId="71BD6F1A"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i/>
          <w:sz w:val="28"/>
          <w:szCs w:val="28"/>
        </w:rPr>
        <w:t>Семестровий контроль</w:t>
      </w:r>
      <w:r w:rsidRPr="008D2A6F">
        <w:rPr>
          <w:rFonts w:ascii="Times New Roman" w:hAnsi="Times New Roman" w:cs="Times New Roman"/>
          <w:sz w:val="28"/>
          <w:szCs w:val="28"/>
        </w:rPr>
        <w:t xml:space="preserve"> - комплексне оцінювання рівня сформованості дисциплінарних </w:t>
      </w:r>
      <w:proofErr w:type="spellStart"/>
      <w:r w:rsidRPr="008D2A6F">
        <w:rPr>
          <w:rFonts w:ascii="Times New Roman" w:hAnsi="Times New Roman" w:cs="Times New Roman"/>
          <w:sz w:val="28"/>
          <w:szCs w:val="28"/>
        </w:rPr>
        <w:t>компетентностей</w:t>
      </w:r>
      <w:proofErr w:type="spellEnd"/>
      <w:r w:rsidRPr="008D2A6F">
        <w:rPr>
          <w:rFonts w:ascii="Times New Roman" w:hAnsi="Times New Roman" w:cs="Times New Roman"/>
          <w:sz w:val="28"/>
          <w:szCs w:val="28"/>
        </w:rPr>
        <w:t xml:space="preserve"> за семестр.</w:t>
      </w:r>
    </w:p>
    <w:p w14:paraId="0B5C2F83"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Форми семестрового контролю - диференційований залік або екзамен.</w:t>
      </w:r>
    </w:p>
    <w:p w14:paraId="6A9759D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Екзамен здійснюється письмово або усно. Дозволяється після або під час письмового екзамену проводити співбесіду зі здобувачем освіти для уточнення оцінки, як з ініціативи викладача, так і з ініціативи студента.</w:t>
      </w:r>
    </w:p>
    <w:p w14:paraId="4B5DFE6B"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Усна форма проведення екзаменів використовується у разі виміру знань, пов’язаних із умовами </w:t>
      </w:r>
      <w:proofErr w:type="spellStart"/>
      <w:r w:rsidRPr="008D2A6F">
        <w:rPr>
          <w:rFonts w:ascii="Times New Roman" w:hAnsi="Times New Roman" w:cs="Times New Roman"/>
          <w:sz w:val="28"/>
          <w:szCs w:val="28"/>
        </w:rPr>
        <w:t>мовного</w:t>
      </w:r>
      <w:proofErr w:type="spellEnd"/>
      <w:r w:rsidRPr="008D2A6F">
        <w:rPr>
          <w:rFonts w:ascii="Times New Roman" w:hAnsi="Times New Roman" w:cs="Times New Roman"/>
          <w:sz w:val="28"/>
          <w:szCs w:val="28"/>
        </w:rPr>
        <w:t xml:space="preserve"> спілкування.</w:t>
      </w:r>
    </w:p>
    <w:p w14:paraId="6FF637FE"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При контролі засвоєння навчального матеріалу з використанням комп’ютерних технологій результати зберігаються в електронному вигляді </w:t>
      </w:r>
    </w:p>
    <w:p w14:paraId="53CF0568"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Результати семестрового контролю використовуються як критерій виконання студентом навчального плану та підстава для адміністративних</w:t>
      </w:r>
    </w:p>
    <w:p w14:paraId="480F439E"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заходів відповідно до чинного законодавства щодо стипендіального забезпечення, переведення, відрахування студентів.</w:t>
      </w:r>
    </w:p>
    <w:p w14:paraId="0CA1E04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Контрольні заходи (КЗ) та сесії (С) проводяться згідно з графіком освітнього </w:t>
      </w:r>
      <w:r w:rsidRPr="008D2A6F">
        <w:rPr>
          <w:rFonts w:ascii="Times New Roman" w:hAnsi="Times New Roman" w:cs="Times New Roman"/>
          <w:sz w:val="28"/>
          <w:szCs w:val="28"/>
        </w:rPr>
        <w:lastRenderedPageBreak/>
        <w:t>процесу.</w:t>
      </w:r>
    </w:p>
    <w:p w14:paraId="39253857"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Результати контрольних заходів з дисциплін, для яких формою семестрового контролю</w:t>
      </w:r>
      <w:r w:rsidRPr="008D2A6F">
        <w:rPr>
          <w:rFonts w:ascii="Times New Roman" w:hAnsi="Times New Roman" w:cs="Times New Roman"/>
          <w:sz w:val="28"/>
          <w:szCs w:val="28"/>
        </w:rPr>
        <w:tab/>
        <w:t>є диференційований залік, визначаються</w:t>
      </w:r>
      <w:r w:rsidRPr="008D2A6F">
        <w:rPr>
          <w:rFonts w:ascii="Times New Roman" w:hAnsi="Times New Roman" w:cs="Times New Roman"/>
          <w:sz w:val="28"/>
          <w:szCs w:val="28"/>
        </w:rPr>
        <w:tab/>
        <w:t>за</w:t>
      </w:r>
    </w:p>
    <w:p w14:paraId="63EF3ED0"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результатами поточного</w:t>
      </w:r>
      <w:r w:rsidRPr="008D2A6F">
        <w:rPr>
          <w:rFonts w:ascii="Times New Roman" w:hAnsi="Times New Roman" w:cs="Times New Roman"/>
          <w:sz w:val="28"/>
          <w:szCs w:val="28"/>
        </w:rPr>
        <w:tab/>
        <w:t>контролю та</w:t>
      </w:r>
      <w:r w:rsidRPr="008D2A6F">
        <w:rPr>
          <w:rFonts w:ascii="Times New Roman" w:hAnsi="Times New Roman" w:cs="Times New Roman"/>
          <w:sz w:val="28"/>
          <w:szCs w:val="28"/>
        </w:rPr>
        <w:tab/>
        <w:t>не</w:t>
      </w:r>
      <w:r w:rsidRPr="008D2A6F">
        <w:rPr>
          <w:rFonts w:ascii="Times New Roman" w:hAnsi="Times New Roman" w:cs="Times New Roman"/>
          <w:sz w:val="28"/>
          <w:szCs w:val="28"/>
        </w:rPr>
        <w:tab/>
        <w:t>передбачають обов’язкову</w:t>
      </w:r>
    </w:p>
    <w:p w14:paraId="6C49B04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присутність студентів. Семестровий залік проводиться до початку сесії на останньому занятті згідно з розкладом занять.</w:t>
      </w:r>
    </w:p>
    <w:p w14:paraId="61FC0076"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Перевірка  знань та</w:t>
      </w:r>
      <w:r w:rsidRPr="008D2A6F">
        <w:rPr>
          <w:rFonts w:ascii="Times New Roman" w:hAnsi="Times New Roman" w:cs="Times New Roman"/>
          <w:sz w:val="28"/>
          <w:szCs w:val="28"/>
        </w:rPr>
        <w:tab/>
        <w:t>вмінь студентів</w:t>
      </w:r>
      <w:r w:rsidRPr="008D2A6F">
        <w:rPr>
          <w:rFonts w:ascii="Times New Roman" w:hAnsi="Times New Roman" w:cs="Times New Roman"/>
          <w:sz w:val="28"/>
          <w:szCs w:val="28"/>
        </w:rPr>
        <w:tab/>
        <w:t>з</w:t>
      </w:r>
      <w:r w:rsidRPr="008D2A6F">
        <w:rPr>
          <w:rFonts w:ascii="Times New Roman" w:hAnsi="Times New Roman" w:cs="Times New Roman"/>
          <w:sz w:val="28"/>
          <w:szCs w:val="28"/>
        </w:rPr>
        <w:tab/>
        <w:t>навчальної дисципліни, що закінчується у кінці семестру, де передбачено вид контролю екзамен, здійснюється під час сесії за окремим розкладом.</w:t>
      </w:r>
    </w:p>
    <w:p w14:paraId="1BAA8E1B"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Розклад семестрових екзаменів складається завідувачами відділень, затверджується директором  та доводиться до відома викладачів і студентів за 2 тижні до початку сесії. Гранична кількість екзаменів за семестр - п’ять.</w:t>
      </w:r>
    </w:p>
    <w:p w14:paraId="791A501C"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Екзамени за розкладом під час сесії проводяться викладачами відповідних навчальних дисциплін. Якщо окремі розділи дисципліни, для якої встановлено один екзамен, викладаються кількома викладачами, екзамен може проводитися за їх участю, але проставляється одна оцінка.</w:t>
      </w:r>
    </w:p>
    <w:p w14:paraId="01804C1E"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Під час проведення контрольних заходів викладач повинен мати документацію, визначену «Положенням про оцінювання результатів навчання здобувачів вищої освіти».</w:t>
      </w:r>
    </w:p>
    <w:p w14:paraId="31F4DDD0"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При проведенні будь-яких форм контролю екзаменатором або екзаменаційною комісією має визначатись вичерпний перелік дозволених допоміжних засобів.</w:t>
      </w:r>
    </w:p>
    <w:p w14:paraId="19EE2FE9"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Особи, допущені до проведення контролю, повинні мати при собі залікову книжку.</w:t>
      </w:r>
    </w:p>
    <w:p w14:paraId="61B0B73A"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Незалежно від результатів поточного контролю кожен студент має право до кінця сесії виконати комплексну контрольну роботу, яка містить завдання, що охоплюють ключові дисциплінарні результати навчання для покращання підсумкової оцінки.</w:t>
      </w:r>
    </w:p>
    <w:p w14:paraId="53720965"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Студенти, які не мали змоги скласти екзамени та заліки у </w:t>
      </w:r>
    </w:p>
    <w:p w14:paraId="58DF374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встановлений термін через хворобу або з інших поважних причин, повинні документально підтвердити це протягом трьох днів після виходу на заняття. За заявою студента наказом директора, йому встановлюється індивідуальний графік складання контрольних заходів тривалістю не більше місяця з дня припинення тимчасової непрацездатності.</w:t>
      </w:r>
    </w:p>
    <w:p w14:paraId="065801CD"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Позитивні оцінки контрольних заходів заносяться до </w:t>
      </w:r>
      <w:proofErr w:type="spellStart"/>
      <w:r w:rsidRPr="008D2A6F">
        <w:rPr>
          <w:rFonts w:ascii="Times New Roman" w:hAnsi="Times New Roman" w:cs="Times New Roman"/>
          <w:sz w:val="28"/>
          <w:szCs w:val="28"/>
        </w:rPr>
        <w:t>заліково</w:t>
      </w:r>
      <w:proofErr w:type="spellEnd"/>
      <w:r w:rsidRPr="008D2A6F">
        <w:rPr>
          <w:rFonts w:ascii="Times New Roman" w:hAnsi="Times New Roman" w:cs="Times New Roman"/>
          <w:sz w:val="28"/>
          <w:szCs w:val="28"/>
        </w:rPr>
        <w:t xml:space="preserve">- </w:t>
      </w:r>
    </w:p>
    <w:p w14:paraId="7949BDA2"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екзаменаційної відомості, залікової книжки та навчальної картки студента. Повністю заповнену відомість викладач повинен здати до  навчальної </w:t>
      </w:r>
      <w:proofErr w:type="spellStart"/>
      <w:r w:rsidRPr="008D2A6F">
        <w:rPr>
          <w:rFonts w:ascii="Times New Roman" w:hAnsi="Times New Roman" w:cs="Times New Roman"/>
          <w:sz w:val="28"/>
          <w:szCs w:val="28"/>
        </w:rPr>
        <w:t>сатини</w:t>
      </w:r>
      <w:proofErr w:type="spellEnd"/>
      <w:r w:rsidRPr="008D2A6F">
        <w:rPr>
          <w:rFonts w:ascii="Times New Roman" w:hAnsi="Times New Roman" w:cs="Times New Roman"/>
          <w:sz w:val="28"/>
          <w:szCs w:val="28"/>
        </w:rPr>
        <w:t xml:space="preserve"> не пізніше наступного після екзамену дня.</w:t>
      </w:r>
    </w:p>
    <w:p w14:paraId="1CFCD77B"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Перескладання позитивної оцінки семестрового контролю на вищу допускається за межами сесії і не впливає на рейтинг студента.</w:t>
      </w:r>
    </w:p>
    <w:p w14:paraId="2AE34541"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На останньому курсі навчання директор (заступник директора з навчальної роботи) може надати дозвіл для підвищення оцінки з дисципліни. </w:t>
      </w:r>
    </w:p>
    <w:p w14:paraId="6BE49199"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Студенти заочної форми навчання виконують передбачені навчальним планом індивідуальні завдання (контрольні роботи, курсові проекти та роботи тощо) та подають їх на початку сесії, обов’язково до проведення контрольних заходів з дисципліни.</w:t>
      </w:r>
    </w:p>
    <w:p w14:paraId="3AB28342"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Для студентів заочної форми навчання розклад занять, заліків та екзаменів складається диспетчерською службою згідно графіка навчального процесу.</w:t>
      </w:r>
    </w:p>
    <w:p w14:paraId="6D624B5F"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lastRenderedPageBreak/>
        <w:t>Студенти, які мають незадовільні оцінки з однієї або декількох навчальних дисциплін, передбачених навчальним планом, вважаються такими, які мають академічну заборгованість.</w:t>
      </w:r>
    </w:p>
    <w:p w14:paraId="6EF277E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i/>
          <w:sz w:val="28"/>
          <w:szCs w:val="28"/>
        </w:rPr>
        <w:t>Підсумковий контроль</w:t>
      </w:r>
      <w:r w:rsidRPr="008D2A6F">
        <w:rPr>
          <w:rFonts w:ascii="Times New Roman" w:hAnsi="Times New Roman" w:cs="Times New Roman"/>
          <w:sz w:val="28"/>
          <w:szCs w:val="28"/>
        </w:rPr>
        <w:t xml:space="preserve"> - комплексне оцінювання рівня сформованості дисциплінарних </w:t>
      </w:r>
      <w:proofErr w:type="spellStart"/>
      <w:r w:rsidRPr="008D2A6F">
        <w:rPr>
          <w:rFonts w:ascii="Times New Roman" w:hAnsi="Times New Roman" w:cs="Times New Roman"/>
          <w:sz w:val="28"/>
          <w:szCs w:val="28"/>
        </w:rPr>
        <w:t>компетентностей</w:t>
      </w:r>
      <w:proofErr w:type="spellEnd"/>
      <w:r w:rsidRPr="008D2A6F">
        <w:rPr>
          <w:rFonts w:ascii="Times New Roman" w:hAnsi="Times New Roman" w:cs="Times New Roman"/>
          <w:sz w:val="28"/>
          <w:szCs w:val="28"/>
        </w:rPr>
        <w:t>.</w:t>
      </w:r>
    </w:p>
    <w:p w14:paraId="66EE53BF"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Форми підсумкового контролю - диференційований залік або екзамен. Якщо дисципліна викладається декілька семестрів, то проміжний семестровий контроль, як правило, здійснюється у вигляді диференційованого заліку.</w:t>
      </w:r>
    </w:p>
    <w:p w14:paraId="600FB235"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Мета підсумкового контролю - комплексне оцінювання рівня сформованості результатів навчання з дисципліни за семестр, навчальний рік.</w:t>
      </w:r>
    </w:p>
    <w:p w14:paraId="553483B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Форми підсумкового контролю - диференційований залік або екзамен.</w:t>
      </w:r>
    </w:p>
    <w:p w14:paraId="5AAD722C"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Диференційовані заліки з дисциплін здійснюються на підставі результатів поточного контролю.</w:t>
      </w:r>
    </w:p>
    <w:p w14:paraId="4B01DD66"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За наявності результатів поточних контролів з усіх видів навчальних занять, оцінювання виконується без участі студента шляхом визначення середньозваженого значення.</w:t>
      </w:r>
    </w:p>
    <w:p w14:paraId="21975C9C" w14:textId="77777777" w:rsidR="008D2A6F" w:rsidRPr="008D2A6F" w:rsidRDefault="008D2A6F" w:rsidP="008D2A6F">
      <w:pPr>
        <w:rPr>
          <w:rFonts w:ascii="Times New Roman" w:hAnsi="Times New Roman" w:cs="Times New Roman"/>
          <w:sz w:val="28"/>
          <w:szCs w:val="28"/>
        </w:rPr>
      </w:pPr>
      <w:r w:rsidRPr="00F54AB3">
        <w:rPr>
          <w:rFonts w:ascii="Times New Roman" w:hAnsi="Times New Roman" w:cs="Times New Roman"/>
          <w:i/>
          <w:sz w:val="28"/>
          <w:szCs w:val="28"/>
        </w:rPr>
        <w:t>Вхідний контроль</w:t>
      </w:r>
      <w:r w:rsidRPr="008D2A6F">
        <w:rPr>
          <w:rFonts w:ascii="Times New Roman" w:hAnsi="Times New Roman" w:cs="Times New Roman"/>
          <w:sz w:val="28"/>
          <w:szCs w:val="28"/>
        </w:rPr>
        <w:t xml:space="preserve"> обов’язково проводиться у студентів першого курсу для виявлення об’єктивного рівня шкільних знань з метою організації освітнього процесу з першокурсниками.</w:t>
      </w:r>
    </w:p>
    <w:p w14:paraId="46C89C3F"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Викладачі можуть проводити вхідний контроль на початку навчання з нової навчальної дисципліни з метою визначення готовності студентів до її засвоєння. Контроль проводиться за допомогою засобів діагностики навчальних дисциплін, що забезпечують нову навчальну дисципліну.</w:t>
      </w:r>
    </w:p>
    <w:p w14:paraId="191EF2FB" w14:textId="77777777" w:rsidR="008D2A6F" w:rsidRPr="008D2A6F" w:rsidRDefault="008D2A6F" w:rsidP="008D2A6F">
      <w:pPr>
        <w:rPr>
          <w:rFonts w:ascii="Times New Roman" w:hAnsi="Times New Roman" w:cs="Times New Roman"/>
          <w:sz w:val="28"/>
          <w:szCs w:val="28"/>
        </w:rPr>
      </w:pPr>
      <w:r w:rsidRPr="00F54AB3">
        <w:rPr>
          <w:rFonts w:ascii="Times New Roman" w:hAnsi="Times New Roman" w:cs="Times New Roman"/>
          <w:i/>
          <w:sz w:val="28"/>
          <w:szCs w:val="28"/>
        </w:rPr>
        <w:t>Директорський контроль</w:t>
      </w:r>
      <w:r w:rsidRPr="008D2A6F">
        <w:rPr>
          <w:rFonts w:ascii="Times New Roman" w:hAnsi="Times New Roman" w:cs="Times New Roman"/>
          <w:sz w:val="28"/>
          <w:szCs w:val="28"/>
        </w:rPr>
        <w:t xml:space="preserve"> - незалежний моніторинг якості навчання, об’єктивності вимірювання й оцінки навчальних досягнень здобувачів освіти. У формі директорського контролю можуть здійснюватися усі види контрольних заходів з дисципліни. Директорський</w:t>
      </w:r>
    </w:p>
    <w:p w14:paraId="535C55B5"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контроль проводиться вибірково за наказом директора в окремих академічних групах або за відповідними дисциплінами.</w:t>
      </w:r>
    </w:p>
    <w:p w14:paraId="1850E862"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3.3.1</w:t>
      </w:r>
      <w:r w:rsidRPr="008D2A6F">
        <w:rPr>
          <w:rFonts w:ascii="Times New Roman" w:hAnsi="Times New Roman" w:cs="Times New Roman"/>
          <w:sz w:val="28"/>
          <w:szCs w:val="28"/>
        </w:rPr>
        <w:tab/>
        <w:t>Засоби діагностики, критерії та процедури оцінювання результатів навчання</w:t>
      </w:r>
    </w:p>
    <w:p w14:paraId="72EFB318"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Результати навчання - це те, що студент знає, розуміє і здатний виконувати після завершення процесу навчання.</w:t>
      </w:r>
    </w:p>
    <w:p w14:paraId="70B68219"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Стандарти й рекомендації щодо забезпечення якості на європейському освітньому просторі передбачають, що оцінювання навчальних досягнень студентів будуються на принципах:</w:t>
      </w:r>
    </w:p>
    <w:p w14:paraId="24A9E5F4"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об’єктивності визначення міри досягнення запланованих результатів навчання;</w:t>
      </w:r>
    </w:p>
    <w:p w14:paraId="24E798A2"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використання чітких й оприлюднених критеріїв виставлення оцінок;</w:t>
      </w:r>
    </w:p>
    <w:p w14:paraId="63D75445"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здійснення адміністративних перевірок точності проведення виписаних процедур.</w:t>
      </w:r>
    </w:p>
    <w:p w14:paraId="56C8B79A"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Критерії оцінювання - опис дій студента щодо демонстрації досягнення результатів навчання. Зміст критеріїв має спиратися на </w:t>
      </w:r>
      <w:proofErr w:type="spellStart"/>
      <w:r w:rsidRPr="008D2A6F">
        <w:rPr>
          <w:rFonts w:ascii="Times New Roman" w:hAnsi="Times New Roman" w:cs="Times New Roman"/>
          <w:sz w:val="28"/>
          <w:szCs w:val="28"/>
        </w:rPr>
        <w:t>компетентнісні</w:t>
      </w:r>
      <w:proofErr w:type="spellEnd"/>
      <w:r w:rsidRPr="008D2A6F">
        <w:rPr>
          <w:rFonts w:ascii="Times New Roman" w:hAnsi="Times New Roman" w:cs="Times New Roman"/>
          <w:sz w:val="28"/>
          <w:szCs w:val="28"/>
        </w:rPr>
        <w:t xml:space="preserve"> характеристики, що визначені для кожного рівня вищої освіти Національною рамкою кваліфікацій. Рівень </w:t>
      </w:r>
      <w:proofErr w:type="spellStart"/>
      <w:r w:rsidRPr="008D2A6F">
        <w:rPr>
          <w:rFonts w:ascii="Times New Roman" w:hAnsi="Times New Roman" w:cs="Times New Roman"/>
          <w:sz w:val="28"/>
          <w:szCs w:val="28"/>
        </w:rPr>
        <w:t>компетентностей</w:t>
      </w:r>
      <w:proofErr w:type="spellEnd"/>
      <w:r w:rsidRPr="008D2A6F">
        <w:rPr>
          <w:rFonts w:ascii="Times New Roman" w:hAnsi="Times New Roman" w:cs="Times New Roman"/>
          <w:sz w:val="28"/>
          <w:szCs w:val="28"/>
        </w:rPr>
        <w:t xml:space="preserve"> відносно вимог НРК, досягнутий студентом і підтверджений оцінюванням, відображає реальний результат його навчання.</w:t>
      </w:r>
    </w:p>
    <w:p w14:paraId="6D38754C"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lastRenderedPageBreak/>
        <w:t>Результати навчання повинні:</w:t>
      </w:r>
    </w:p>
    <w:p w14:paraId="29F8C318"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адекватно відображати контекст, рівень, сферу діяльності і зміст програми;</w:t>
      </w:r>
    </w:p>
    <w:p w14:paraId="47614B81"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бути зрозумілими й піддаватися контролю на основі реальних досягнень студента після завершення програми;</w:t>
      </w:r>
    </w:p>
    <w:p w14:paraId="7A9A8141"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бути досяжними в межах встановленого навантаження;</w:t>
      </w:r>
    </w:p>
    <w:p w14:paraId="145DA250"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w:t>
      </w:r>
      <w:r w:rsidRPr="008D2A6F">
        <w:rPr>
          <w:rFonts w:ascii="Times New Roman" w:hAnsi="Times New Roman" w:cs="Times New Roman"/>
          <w:sz w:val="28"/>
          <w:szCs w:val="28"/>
        </w:rPr>
        <w:tab/>
        <w:t>повинні пов’язуватися з відповідними видами навчальної діяльності, формами і критеріями оцінювання.</w:t>
      </w:r>
    </w:p>
    <w:p w14:paraId="672888BD"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Оцінювання  дисциплін загальноосвітньої підготовки здійснюється за 12 бальною </w:t>
      </w:r>
      <w:proofErr w:type="spellStart"/>
      <w:r w:rsidRPr="008D2A6F">
        <w:rPr>
          <w:rFonts w:ascii="Times New Roman" w:hAnsi="Times New Roman" w:cs="Times New Roman"/>
          <w:sz w:val="28"/>
          <w:szCs w:val="28"/>
        </w:rPr>
        <w:t>щкалою,спеціальних</w:t>
      </w:r>
      <w:proofErr w:type="spellEnd"/>
      <w:r w:rsidRPr="008D2A6F">
        <w:rPr>
          <w:rFonts w:ascii="Times New Roman" w:hAnsi="Times New Roman" w:cs="Times New Roman"/>
          <w:sz w:val="28"/>
          <w:szCs w:val="28"/>
        </w:rPr>
        <w:t xml:space="preserve"> та профілюючих дисциплін – за 4 бальною.</w:t>
      </w:r>
    </w:p>
    <w:p w14:paraId="1912A4E9"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 xml:space="preserve">Шкали оцінювання результатів навчання студентів </w:t>
      </w:r>
    </w:p>
    <w:p w14:paraId="7B4D47D9" w14:textId="7DF7C1F7" w:rsid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ВСП« Уманський фаховий коледж технологій та бізнесу УНУС».</w:t>
      </w:r>
    </w:p>
    <w:p w14:paraId="24D90A62" w14:textId="77777777" w:rsidR="001C4C63" w:rsidRPr="008D2A6F" w:rsidRDefault="001C4C63" w:rsidP="008D2A6F">
      <w:pPr>
        <w:rPr>
          <w:rFonts w:ascii="Times New Roman" w:hAnsi="Times New Roman" w:cs="Times New Roman"/>
          <w:sz w:val="28"/>
          <w:szCs w:val="28"/>
        </w:rPr>
      </w:pPr>
    </w:p>
    <w:p w14:paraId="5ECA3B6D" w14:textId="77777777" w:rsidR="008D2A6F" w:rsidRPr="008D2A6F" w:rsidRDefault="008D2A6F" w:rsidP="008D2A6F">
      <w:pPr>
        <w:rPr>
          <w:rFonts w:ascii="Times New Roman" w:hAnsi="Times New Roman" w:cs="Times New Roman"/>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3269"/>
        <w:gridCol w:w="3552"/>
      </w:tblGrid>
      <w:tr w:rsidR="001C4C63" w:rsidRPr="00075543" w14:paraId="68D4C93E" w14:textId="77777777" w:rsidTr="008808F8">
        <w:trPr>
          <w:trHeight w:val="336"/>
        </w:trPr>
        <w:tc>
          <w:tcPr>
            <w:tcW w:w="3269" w:type="dxa"/>
            <w:tcBorders>
              <w:top w:val="single" w:sz="4" w:space="0" w:color="auto"/>
              <w:left w:val="single" w:sz="4" w:space="0" w:color="auto"/>
            </w:tcBorders>
            <w:shd w:val="clear" w:color="auto" w:fill="FFFFFF"/>
          </w:tcPr>
          <w:p w14:paraId="0E7882A8" w14:textId="77777777" w:rsidR="001C4C63" w:rsidRPr="00075543" w:rsidRDefault="001C4C63" w:rsidP="008808F8">
            <w:pPr>
              <w:jc w:val="center"/>
              <w:rPr>
                <w:rFonts w:ascii="Times New Roman" w:hAnsi="Times New Roman" w:cs="Times New Roman"/>
                <w:sz w:val="28"/>
                <w:szCs w:val="28"/>
              </w:rPr>
            </w:pPr>
            <w:r>
              <w:rPr>
                <w:rFonts w:ascii="Times New Roman" w:hAnsi="Times New Roman" w:cs="Times New Roman"/>
                <w:sz w:val="28"/>
                <w:szCs w:val="28"/>
              </w:rPr>
              <w:t>Бальна</w:t>
            </w:r>
          </w:p>
        </w:tc>
        <w:tc>
          <w:tcPr>
            <w:tcW w:w="3552" w:type="dxa"/>
            <w:tcBorders>
              <w:top w:val="single" w:sz="4" w:space="0" w:color="auto"/>
              <w:left w:val="single" w:sz="4" w:space="0" w:color="auto"/>
              <w:right w:val="single" w:sz="4" w:space="0" w:color="auto"/>
            </w:tcBorders>
            <w:shd w:val="clear" w:color="auto" w:fill="FFFFFF"/>
          </w:tcPr>
          <w:p w14:paraId="40391483" w14:textId="77777777" w:rsidR="001C4C63" w:rsidRPr="00075543" w:rsidRDefault="001C4C63" w:rsidP="008808F8">
            <w:pPr>
              <w:jc w:val="center"/>
              <w:rPr>
                <w:rFonts w:ascii="Times New Roman" w:hAnsi="Times New Roman" w:cs="Times New Roman"/>
                <w:sz w:val="28"/>
                <w:szCs w:val="28"/>
              </w:rPr>
            </w:pPr>
            <w:r w:rsidRPr="00075543">
              <w:rPr>
                <w:rFonts w:ascii="Times New Roman" w:hAnsi="Times New Roman" w:cs="Times New Roman"/>
                <w:sz w:val="28"/>
                <w:szCs w:val="28"/>
              </w:rPr>
              <w:t>Інституційна</w:t>
            </w:r>
          </w:p>
        </w:tc>
      </w:tr>
      <w:tr w:rsidR="001C4C63" w:rsidRPr="00075543" w14:paraId="3799F350" w14:textId="77777777" w:rsidTr="008808F8">
        <w:trPr>
          <w:trHeight w:val="336"/>
        </w:trPr>
        <w:tc>
          <w:tcPr>
            <w:tcW w:w="3269" w:type="dxa"/>
            <w:tcBorders>
              <w:top w:val="single" w:sz="4" w:space="0" w:color="auto"/>
              <w:left w:val="single" w:sz="4" w:space="0" w:color="auto"/>
            </w:tcBorders>
            <w:shd w:val="clear" w:color="auto" w:fill="FFFFFF"/>
          </w:tcPr>
          <w:p w14:paraId="46393FB1" w14:textId="77777777" w:rsidR="001C4C63" w:rsidRPr="00E877CE" w:rsidRDefault="001C4C63" w:rsidP="008808F8">
            <w:pPr>
              <w:jc w:val="center"/>
              <w:rPr>
                <w:rFonts w:ascii="Times New Roman" w:hAnsi="Times New Roman" w:cs="Times New Roman"/>
                <w:sz w:val="28"/>
                <w:szCs w:val="28"/>
              </w:rPr>
            </w:pPr>
            <w:r w:rsidRPr="00E877CE">
              <w:rPr>
                <w:rFonts w:ascii="Times New Roman" w:hAnsi="Times New Roman" w:cs="Times New Roman"/>
                <w:sz w:val="28"/>
                <w:szCs w:val="28"/>
              </w:rPr>
              <w:t>5</w:t>
            </w:r>
          </w:p>
        </w:tc>
        <w:tc>
          <w:tcPr>
            <w:tcW w:w="3552" w:type="dxa"/>
            <w:tcBorders>
              <w:top w:val="single" w:sz="4" w:space="0" w:color="auto"/>
              <w:left w:val="single" w:sz="4" w:space="0" w:color="auto"/>
              <w:right w:val="single" w:sz="4" w:space="0" w:color="auto"/>
            </w:tcBorders>
            <w:shd w:val="clear" w:color="auto" w:fill="FFFFFF"/>
          </w:tcPr>
          <w:p w14:paraId="1D4D3FEC" w14:textId="77777777" w:rsidR="001C4C63" w:rsidRPr="00075543" w:rsidRDefault="001C4C63" w:rsidP="008808F8">
            <w:pPr>
              <w:rPr>
                <w:rFonts w:ascii="Times New Roman" w:hAnsi="Times New Roman" w:cs="Times New Roman"/>
                <w:sz w:val="28"/>
                <w:szCs w:val="28"/>
              </w:rPr>
            </w:pPr>
            <w:r w:rsidRPr="00075543">
              <w:rPr>
                <w:rFonts w:ascii="Times New Roman" w:hAnsi="Times New Roman" w:cs="Times New Roman"/>
                <w:sz w:val="28"/>
                <w:szCs w:val="28"/>
              </w:rPr>
              <w:t xml:space="preserve">відмінно / </w:t>
            </w:r>
            <w:proofErr w:type="spellStart"/>
            <w:r w:rsidRPr="00075543">
              <w:rPr>
                <w:rFonts w:ascii="Times New Roman" w:hAnsi="Times New Roman" w:cs="Times New Roman"/>
                <w:sz w:val="28"/>
                <w:szCs w:val="28"/>
              </w:rPr>
              <w:t>Excellent</w:t>
            </w:r>
            <w:proofErr w:type="spellEnd"/>
          </w:p>
        </w:tc>
      </w:tr>
      <w:tr w:rsidR="001C4C63" w:rsidRPr="00075543" w14:paraId="5BE76E38" w14:textId="77777777" w:rsidTr="008808F8">
        <w:trPr>
          <w:trHeight w:val="331"/>
        </w:trPr>
        <w:tc>
          <w:tcPr>
            <w:tcW w:w="3269" w:type="dxa"/>
            <w:tcBorders>
              <w:top w:val="single" w:sz="4" w:space="0" w:color="auto"/>
              <w:left w:val="single" w:sz="4" w:space="0" w:color="auto"/>
            </w:tcBorders>
            <w:shd w:val="clear" w:color="auto" w:fill="FFFFFF"/>
          </w:tcPr>
          <w:p w14:paraId="28180ED8" w14:textId="77777777" w:rsidR="001C4C63" w:rsidRPr="00E877CE" w:rsidRDefault="001C4C63" w:rsidP="008808F8">
            <w:pPr>
              <w:jc w:val="center"/>
              <w:rPr>
                <w:rFonts w:ascii="Times New Roman" w:hAnsi="Times New Roman" w:cs="Times New Roman"/>
                <w:sz w:val="28"/>
                <w:szCs w:val="28"/>
              </w:rPr>
            </w:pPr>
            <w:r w:rsidRPr="00E877CE">
              <w:rPr>
                <w:rFonts w:ascii="Times New Roman" w:hAnsi="Times New Roman" w:cs="Times New Roman"/>
                <w:sz w:val="28"/>
                <w:szCs w:val="28"/>
              </w:rPr>
              <w:t>4</w:t>
            </w:r>
          </w:p>
        </w:tc>
        <w:tc>
          <w:tcPr>
            <w:tcW w:w="3552" w:type="dxa"/>
            <w:tcBorders>
              <w:top w:val="single" w:sz="4" w:space="0" w:color="auto"/>
              <w:left w:val="single" w:sz="4" w:space="0" w:color="auto"/>
              <w:right w:val="single" w:sz="4" w:space="0" w:color="auto"/>
            </w:tcBorders>
            <w:shd w:val="clear" w:color="auto" w:fill="FFFFFF"/>
          </w:tcPr>
          <w:p w14:paraId="3DFE3296" w14:textId="77777777" w:rsidR="001C4C63" w:rsidRPr="00075543" w:rsidRDefault="001C4C63" w:rsidP="008808F8">
            <w:pPr>
              <w:rPr>
                <w:rFonts w:ascii="Times New Roman" w:hAnsi="Times New Roman" w:cs="Times New Roman"/>
                <w:sz w:val="28"/>
                <w:szCs w:val="28"/>
              </w:rPr>
            </w:pPr>
            <w:r w:rsidRPr="00075543">
              <w:rPr>
                <w:rFonts w:ascii="Times New Roman" w:hAnsi="Times New Roman" w:cs="Times New Roman"/>
                <w:sz w:val="28"/>
                <w:szCs w:val="28"/>
              </w:rPr>
              <w:t>добре/</w:t>
            </w:r>
            <w:proofErr w:type="spellStart"/>
            <w:r w:rsidRPr="00075543">
              <w:rPr>
                <w:rFonts w:ascii="Times New Roman" w:hAnsi="Times New Roman" w:cs="Times New Roman"/>
                <w:sz w:val="28"/>
                <w:szCs w:val="28"/>
              </w:rPr>
              <w:t>Good</w:t>
            </w:r>
            <w:proofErr w:type="spellEnd"/>
          </w:p>
        </w:tc>
      </w:tr>
      <w:tr w:rsidR="001C4C63" w:rsidRPr="00075543" w14:paraId="535CBFAA" w14:textId="77777777" w:rsidTr="008808F8">
        <w:trPr>
          <w:trHeight w:val="331"/>
        </w:trPr>
        <w:tc>
          <w:tcPr>
            <w:tcW w:w="3269" w:type="dxa"/>
            <w:tcBorders>
              <w:top w:val="single" w:sz="4" w:space="0" w:color="auto"/>
              <w:left w:val="single" w:sz="4" w:space="0" w:color="auto"/>
            </w:tcBorders>
            <w:shd w:val="clear" w:color="auto" w:fill="FFFFFF"/>
          </w:tcPr>
          <w:p w14:paraId="587C505B" w14:textId="77777777" w:rsidR="001C4C63" w:rsidRPr="00E877CE" w:rsidRDefault="001C4C63" w:rsidP="008808F8">
            <w:pPr>
              <w:jc w:val="center"/>
              <w:rPr>
                <w:rFonts w:ascii="Times New Roman" w:hAnsi="Times New Roman" w:cs="Times New Roman"/>
                <w:sz w:val="28"/>
                <w:szCs w:val="28"/>
              </w:rPr>
            </w:pPr>
            <w:r w:rsidRPr="00E877CE">
              <w:rPr>
                <w:rFonts w:ascii="Times New Roman" w:hAnsi="Times New Roman" w:cs="Times New Roman"/>
                <w:sz w:val="28"/>
                <w:szCs w:val="28"/>
              </w:rPr>
              <w:t>3</w:t>
            </w:r>
          </w:p>
        </w:tc>
        <w:tc>
          <w:tcPr>
            <w:tcW w:w="3552" w:type="dxa"/>
            <w:tcBorders>
              <w:top w:val="single" w:sz="4" w:space="0" w:color="auto"/>
              <w:left w:val="single" w:sz="4" w:space="0" w:color="auto"/>
              <w:right w:val="single" w:sz="4" w:space="0" w:color="auto"/>
            </w:tcBorders>
            <w:shd w:val="clear" w:color="auto" w:fill="FFFFFF"/>
          </w:tcPr>
          <w:p w14:paraId="3423901F" w14:textId="77777777" w:rsidR="001C4C63" w:rsidRPr="00075543" w:rsidRDefault="001C4C63" w:rsidP="008808F8">
            <w:pPr>
              <w:rPr>
                <w:rFonts w:ascii="Times New Roman" w:hAnsi="Times New Roman" w:cs="Times New Roman"/>
                <w:sz w:val="28"/>
                <w:szCs w:val="28"/>
              </w:rPr>
            </w:pPr>
            <w:r w:rsidRPr="00075543">
              <w:rPr>
                <w:rFonts w:ascii="Times New Roman" w:hAnsi="Times New Roman" w:cs="Times New Roman"/>
                <w:sz w:val="28"/>
                <w:szCs w:val="28"/>
              </w:rPr>
              <w:t xml:space="preserve">задовільно / </w:t>
            </w:r>
            <w:proofErr w:type="spellStart"/>
            <w:r w:rsidRPr="00075543">
              <w:rPr>
                <w:rFonts w:ascii="Times New Roman" w:hAnsi="Times New Roman" w:cs="Times New Roman"/>
                <w:sz w:val="28"/>
                <w:szCs w:val="28"/>
              </w:rPr>
              <w:t>Satisfactory</w:t>
            </w:r>
            <w:proofErr w:type="spellEnd"/>
          </w:p>
        </w:tc>
      </w:tr>
      <w:tr w:rsidR="001C4C63" w:rsidRPr="00075543" w14:paraId="3BCF0D57" w14:textId="77777777" w:rsidTr="008808F8">
        <w:trPr>
          <w:trHeight w:val="341"/>
        </w:trPr>
        <w:tc>
          <w:tcPr>
            <w:tcW w:w="3269" w:type="dxa"/>
            <w:tcBorders>
              <w:top w:val="single" w:sz="4" w:space="0" w:color="auto"/>
              <w:left w:val="single" w:sz="4" w:space="0" w:color="auto"/>
              <w:bottom w:val="single" w:sz="4" w:space="0" w:color="auto"/>
            </w:tcBorders>
            <w:shd w:val="clear" w:color="auto" w:fill="FFFFFF"/>
          </w:tcPr>
          <w:p w14:paraId="2831C4C3" w14:textId="77777777" w:rsidR="001C4C63" w:rsidRPr="00E877CE" w:rsidRDefault="001C4C63" w:rsidP="008808F8">
            <w:pPr>
              <w:jc w:val="center"/>
              <w:rPr>
                <w:rFonts w:ascii="Times New Roman" w:hAnsi="Times New Roman" w:cs="Times New Roman"/>
                <w:sz w:val="28"/>
                <w:szCs w:val="28"/>
              </w:rPr>
            </w:pPr>
            <w:r w:rsidRPr="00E877CE">
              <w:rPr>
                <w:rFonts w:ascii="Times New Roman" w:hAnsi="Times New Roman" w:cs="Times New Roman"/>
                <w:sz w:val="28"/>
                <w:szCs w:val="28"/>
              </w:rPr>
              <w:t>2</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14:paraId="185624D0" w14:textId="77777777" w:rsidR="001C4C63" w:rsidRPr="00075543" w:rsidRDefault="001C4C63" w:rsidP="008808F8">
            <w:pPr>
              <w:rPr>
                <w:rFonts w:ascii="Times New Roman" w:hAnsi="Times New Roman" w:cs="Times New Roman"/>
                <w:sz w:val="28"/>
                <w:szCs w:val="28"/>
              </w:rPr>
            </w:pPr>
            <w:r w:rsidRPr="00075543">
              <w:rPr>
                <w:rFonts w:ascii="Times New Roman" w:hAnsi="Times New Roman" w:cs="Times New Roman"/>
                <w:sz w:val="28"/>
                <w:szCs w:val="28"/>
              </w:rPr>
              <w:t xml:space="preserve">незадовільно / </w:t>
            </w:r>
            <w:proofErr w:type="spellStart"/>
            <w:r w:rsidRPr="00075543">
              <w:rPr>
                <w:rFonts w:ascii="Times New Roman" w:hAnsi="Times New Roman" w:cs="Times New Roman"/>
                <w:sz w:val="28"/>
                <w:szCs w:val="28"/>
              </w:rPr>
              <w:t>Fail</w:t>
            </w:r>
            <w:proofErr w:type="spellEnd"/>
          </w:p>
        </w:tc>
      </w:tr>
    </w:tbl>
    <w:p w14:paraId="31546A23" w14:textId="77777777" w:rsidR="001C4C63" w:rsidRDefault="001C4C63" w:rsidP="008D2A6F">
      <w:pPr>
        <w:rPr>
          <w:rFonts w:ascii="Times New Roman" w:hAnsi="Times New Roman" w:cs="Times New Roman"/>
          <w:sz w:val="28"/>
          <w:szCs w:val="28"/>
        </w:rPr>
      </w:pPr>
    </w:p>
    <w:p w14:paraId="57FEBEA6" w14:textId="387310B3"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Робоча програма з кожної навчальної дисципліни має містити узагальнені засоби діагностики, що розробляються на базі програмних результатів навчання за стандартами вищої освіти. Конкретизовані засоби діагностики, що безпосередньо застосовуються для контрольних заходів,</w:t>
      </w:r>
    </w:p>
    <w:p w14:paraId="62E4C34A" w14:textId="77777777" w:rsidR="008D2A6F" w:rsidRPr="008D2A6F" w:rsidRDefault="008D2A6F" w:rsidP="008D2A6F">
      <w:pPr>
        <w:rPr>
          <w:rFonts w:ascii="Times New Roman" w:hAnsi="Times New Roman" w:cs="Times New Roman"/>
          <w:sz w:val="28"/>
          <w:szCs w:val="28"/>
        </w:rPr>
      </w:pPr>
      <w:r w:rsidRPr="008D2A6F">
        <w:rPr>
          <w:rFonts w:ascii="Times New Roman" w:hAnsi="Times New Roman" w:cs="Times New Roman"/>
          <w:sz w:val="28"/>
          <w:szCs w:val="28"/>
        </w:rPr>
        <w:t>формуються на основі узагальнених шляхом конкретизації вихідних даних та способу демонстрації результатів навчання.</w:t>
      </w:r>
    </w:p>
    <w:p w14:paraId="7D24D7AE" w14:textId="77777777" w:rsidR="008D2A6F" w:rsidRPr="008D2A6F" w:rsidRDefault="008D2A6F" w:rsidP="008D2A6F">
      <w:pPr>
        <w:rPr>
          <w:rFonts w:ascii="Times New Roman" w:hAnsi="Times New Roman" w:cs="Times New Roman"/>
          <w:sz w:val="28"/>
          <w:szCs w:val="28"/>
        </w:rPr>
      </w:pPr>
      <w:r w:rsidRPr="00242363">
        <w:rPr>
          <w:rFonts w:ascii="Times New Roman" w:hAnsi="Times New Roman" w:cs="Times New Roman"/>
          <w:i/>
          <w:sz w:val="28"/>
          <w:szCs w:val="28"/>
        </w:rPr>
        <w:t>Ліквідація академічної заборгованості</w:t>
      </w:r>
      <w:r w:rsidRPr="008D2A6F">
        <w:rPr>
          <w:rFonts w:ascii="Times New Roman" w:hAnsi="Times New Roman" w:cs="Times New Roman"/>
          <w:sz w:val="28"/>
          <w:szCs w:val="28"/>
        </w:rPr>
        <w:t xml:space="preserve"> з навчальних дисциплін, індивідуальних завдань, практики та випускної атестації регулюється «Положенням про оцінювання результатів навчання здобувачів освіти.</w:t>
      </w:r>
    </w:p>
    <w:p w14:paraId="74EED553" w14:textId="77777777" w:rsidR="008D2A6F" w:rsidRPr="008D2A6F" w:rsidRDefault="008D2A6F">
      <w:pPr>
        <w:rPr>
          <w:rFonts w:ascii="Times New Roman" w:hAnsi="Times New Roman" w:cs="Times New Roman"/>
          <w:sz w:val="28"/>
          <w:szCs w:val="28"/>
        </w:rPr>
      </w:pPr>
    </w:p>
    <w:sectPr w:rsidR="008D2A6F" w:rsidRPr="008D2A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8B"/>
    <w:rsid w:val="001C4C63"/>
    <w:rsid w:val="00242363"/>
    <w:rsid w:val="0043363F"/>
    <w:rsid w:val="00433BDB"/>
    <w:rsid w:val="00497F11"/>
    <w:rsid w:val="008D2A6F"/>
    <w:rsid w:val="008E4DD4"/>
    <w:rsid w:val="00AB1BF7"/>
    <w:rsid w:val="00F54AB3"/>
    <w:rsid w:val="00F765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A2EE"/>
  <w15:chartTrackingRefBased/>
  <w15:docId w15:val="{C8B8F535-669A-4359-AD59-B0029EE0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97F11"/>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83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2BDE2-241D-4FEB-A695-95C53FE21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9590</Words>
  <Characters>5467</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Приймальня</dc:creator>
  <cp:keywords/>
  <dc:description/>
  <cp:lastModifiedBy>Приймальня</cp:lastModifiedBy>
  <cp:revision>9</cp:revision>
  <dcterms:created xsi:type="dcterms:W3CDTF">2021-12-10T07:09:00Z</dcterms:created>
  <dcterms:modified xsi:type="dcterms:W3CDTF">2021-12-13T12:27:00Z</dcterms:modified>
</cp:coreProperties>
</file>