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19566">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3B0D49D0">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07D58FA6">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09310000-5: Електрична енергія </w:t>
      </w:r>
    </w:p>
    <w:p w14:paraId="26F49A0A">
      <w:pPr>
        <w:jc w:val="both"/>
        <w:rPr>
          <w:lang w:val="uk-UA"/>
        </w:rPr>
      </w:pPr>
      <w:r>
        <w:rPr>
          <w:lang w:val="uk-UA"/>
        </w:rPr>
        <w:t xml:space="preserve">Лот 1 : </w:t>
      </w:r>
      <w:r>
        <w:t>ДК 021:2015: 09310000-5 — Електрична енергія</w:t>
      </w:r>
      <w:r>
        <w:rPr>
          <w:lang w:val="uk-UA"/>
        </w:rPr>
        <w:t xml:space="preserve"> (</w:t>
      </w:r>
      <w:r>
        <w:t>навчальні корпуси та електроустановки</w:t>
      </w:r>
      <w:r>
        <w:rPr>
          <w:lang w:val="uk-UA"/>
        </w:rPr>
        <w:t>)</w:t>
      </w:r>
    </w:p>
    <w:p w14:paraId="10C63718">
      <w:pPr>
        <w:jc w:val="both"/>
        <w:rPr>
          <w:rFonts w:ascii="Times New Roman" w:hAnsi="Times New Roman" w:cs="Times New Roman"/>
          <w:sz w:val="28"/>
          <w:szCs w:val="28"/>
          <w:lang w:val="uk-UA"/>
        </w:rPr>
      </w:pPr>
      <w:r>
        <w:rPr>
          <w:lang w:val="uk-UA"/>
        </w:rPr>
        <w:t xml:space="preserve">Лот 2 : </w:t>
      </w:r>
      <w:r>
        <w:t>ДК 021:2015: 09310000-5 — Електрична енергія</w:t>
      </w:r>
      <w:r>
        <w:rPr>
          <w:lang w:val="uk-UA"/>
        </w:rPr>
        <w:t xml:space="preserve"> (гуртожитки).</w:t>
      </w:r>
    </w:p>
    <w:p w14:paraId="1F3C55CF">
      <w:pPr>
        <w:rPr>
          <w:rFonts w:ascii="Times New Roman" w:hAnsi="Times New Roman" w:cs="Times New Roman"/>
          <w:sz w:val="28"/>
          <w:szCs w:val="28"/>
          <w:lang w:val="uk-UA"/>
        </w:rPr>
      </w:pPr>
      <w:r>
        <w:rPr>
          <w:rFonts w:ascii="Times New Roman" w:hAnsi="Times New Roman" w:cs="Times New Roman"/>
          <w:b/>
          <w:sz w:val="28"/>
          <w:szCs w:val="28"/>
          <w:lang w:val="uk-UA"/>
        </w:rPr>
        <w:t>2. Вид процедури : відкриті торги з особливостями</w:t>
      </w:r>
      <w:r>
        <w:rPr>
          <w:rFonts w:ascii="Times New Roman" w:hAnsi="Times New Roman" w:cs="Times New Roman"/>
          <w:sz w:val="28"/>
          <w:szCs w:val="28"/>
          <w:lang w:val="uk-UA"/>
        </w:rPr>
        <w:t>.</w:t>
      </w:r>
    </w:p>
    <w:p w14:paraId="68B4A19D">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Pr>
          <w:rFonts w:ascii="Arial" w:hAnsi="Arial" w:eastAsia="Arial" w:cs="Arial"/>
          <w:i w:val="0"/>
          <w:iCs w:val="0"/>
          <w:caps w:val="0"/>
          <w:color w:val="242638"/>
          <w:spacing w:val="0"/>
          <w:sz w:val="24"/>
          <w:szCs w:val="24"/>
          <w:shd w:val="clear" w:fill="FFFFFF"/>
        </w:rPr>
        <w:t>UA-2025-12-01-001287-a</w:t>
      </w:r>
    </w:p>
    <w:p w14:paraId="74A905CF">
      <w:pPr>
        <w:rPr>
          <w:rFonts w:ascii="Times New Roman" w:hAnsi="Times New Roman" w:cs="Times New Roman"/>
          <w:b/>
          <w:sz w:val="28"/>
          <w:szCs w:val="28"/>
          <w:lang w:val="uk-UA"/>
        </w:rPr>
      </w:pPr>
      <w:r>
        <w:rPr>
          <w:rFonts w:ascii="Times New Roman" w:hAnsi="Times New Roman" w:cs="Times New Roman"/>
          <w:b/>
          <w:sz w:val="28"/>
          <w:szCs w:val="28"/>
          <w:lang w:val="uk-UA"/>
        </w:rPr>
        <w:t xml:space="preserve">4. Обґрунтування технічних та якісних характеристик :   </w:t>
      </w:r>
    </w:p>
    <w:p w14:paraId="1350C71F">
      <w:pPr>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Технічні та якісні характеристики предмету закупівлі: Визначено відповідно до технічної специфікації до предмета закупівлі (Додаток 2)</w:t>
      </w:r>
    </w:p>
    <w:p w14:paraId="1CF3998D">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Pr>
          <w:rFonts w:ascii="Times New Roman" w:hAnsi="Times New Roman" w:cs="Times New Roman"/>
          <w:sz w:val="28"/>
          <w:szCs w:val="28"/>
          <w:lang w:val="uk-UA"/>
        </w:rPr>
        <w:t xml:space="preserve"> </w:t>
      </w:r>
    </w:p>
    <w:p w14:paraId="48566CEC">
      <w:pPr>
        <w:rPr>
          <w:rFonts w:ascii="Times New Roman" w:hAnsi="Times New Roman" w:cs="Times New Roman"/>
          <w:b/>
          <w:sz w:val="28"/>
          <w:szCs w:val="28"/>
          <w:lang w:val="uk-UA"/>
        </w:rPr>
      </w:pPr>
      <w:r>
        <w:rPr>
          <w:rFonts w:ascii="Times New Roman" w:hAnsi="Times New Roman" w:cs="Times New Roman"/>
          <w:sz w:val="28"/>
          <w:szCs w:val="28"/>
          <w:lang w:val="uk-UA"/>
        </w:rPr>
        <w:t xml:space="preserve">Розмір бюджетного призначення сформований з урахуванням потреби в закупівлі електричної енергії та бюджетних призначень на 2026 рік, та </w:t>
      </w:r>
      <w:r>
        <w:rPr>
          <w:rFonts w:ascii="Times New Roman" w:hAnsi="Times New Roman" w:cs="Times New Roman"/>
          <w:b/>
          <w:sz w:val="28"/>
          <w:szCs w:val="28"/>
          <w:lang w:val="uk-UA"/>
        </w:rPr>
        <w:t xml:space="preserve">складає </w:t>
      </w:r>
      <w:r>
        <w:rPr>
          <w:rFonts w:hint="default" w:ascii="Times New Roman" w:hAnsi="Times New Roman" w:cs="Times New Roman"/>
          <w:b/>
          <w:sz w:val="28"/>
          <w:szCs w:val="28"/>
          <w:lang w:val="uk-UA"/>
        </w:rPr>
        <w:t>2273728</w:t>
      </w:r>
      <w:r>
        <w:rPr>
          <w:rFonts w:ascii="Times New Roman" w:hAnsi="Times New Roman" w:cs="Times New Roman"/>
          <w:b/>
          <w:sz w:val="28"/>
          <w:szCs w:val="28"/>
          <w:lang w:val="uk-UA"/>
        </w:rPr>
        <w:t>,00 грн. ( Два мільйони   двісті</w:t>
      </w:r>
      <w:r>
        <w:rPr>
          <w:rFonts w:hint="default" w:ascii="Times New Roman" w:hAnsi="Times New Roman" w:cs="Times New Roman"/>
          <w:b/>
          <w:sz w:val="28"/>
          <w:szCs w:val="28"/>
          <w:lang w:val="uk-UA"/>
        </w:rPr>
        <w:t xml:space="preserve"> сімдесят три тисячі сімсот двадцять вісім</w:t>
      </w:r>
      <w:r>
        <w:rPr>
          <w:rFonts w:ascii="Times New Roman" w:hAnsi="Times New Roman" w:cs="Times New Roman"/>
          <w:b/>
          <w:sz w:val="28"/>
          <w:szCs w:val="28"/>
          <w:lang w:val="uk-UA"/>
        </w:rPr>
        <w:t xml:space="preserve">  гривень 00 копійок) з ПДВ. В т.ч. :</w:t>
      </w:r>
    </w:p>
    <w:p w14:paraId="369D6424">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1 : </w:t>
      </w:r>
      <w:r>
        <w:rPr>
          <w:rFonts w:hint="default" w:ascii="Times New Roman" w:hAnsi="Times New Roman" w:cs="Times New Roman"/>
          <w:b/>
          <w:sz w:val="28"/>
          <w:szCs w:val="28"/>
          <w:lang w:val="uk-UA"/>
        </w:rPr>
        <w:t>1165000</w:t>
      </w:r>
      <w:r>
        <w:rPr>
          <w:rFonts w:ascii="Times New Roman" w:hAnsi="Times New Roman" w:cs="Times New Roman"/>
          <w:b/>
          <w:sz w:val="28"/>
          <w:szCs w:val="28"/>
          <w:lang w:val="uk-UA"/>
        </w:rPr>
        <w:t>,00 грн ( один</w:t>
      </w:r>
      <w:r>
        <w:rPr>
          <w:rFonts w:hint="default" w:ascii="Times New Roman" w:hAnsi="Times New Roman" w:cs="Times New Roman"/>
          <w:b/>
          <w:sz w:val="28"/>
          <w:szCs w:val="28"/>
          <w:lang w:val="uk-UA"/>
        </w:rPr>
        <w:t xml:space="preserve"> мільйон сто шістдесят п’ять тисяч</w:t>
      </w:r>
      <w:r>
        <w:rPr>
          <w:rFonts w:ascii="Times New Roman" w:hAnsi="Times New Roman" w:cs="Times New Roman"/>
          <w:b/>
          <w:sz w:val="28"/>
          <w:szCs w:val="28"/>
          <w:lang w:val="uk-UA"/>
        </w:rPr>
        <w:t xml:space="preserve"> гривень 00 коп.) </w:t>
      </w:r>
    </w:p>
    <w:p w14:paraId="4F177AB7">
      <w:pPr>
        <w:rPr>
          <w:rFonts w:ascii="Times New Roman" w:hAnsi="Times New Roman" w:cs="Times New Roman"/>
          <w:b/>
          <w:sz w:val="28"/>
          <w:szCs w:val="28"/>
          <w:lang w:val="uk-UA"/>
        </w:rPr>
      </w:pPr>
      <w:r>
        <w:rPr>
          <w:rFonts w:ascii="Times New Roman" w:hAnsi="Times New Roman" w:cs="Times New Roman"/>
          <w:b/>
          <w:sz w:val="28"/>
          <w:szCs w:val="28"/>
          <w:lang w:val="uk-UA"/>
        </w:rPr>
        <w:t>Лот 2:  1</w:t>
      </w:r>
      <w:r>
        <w:rPr>
          <w:rFonts w:hint="default" w:ascii="Times New Roman" w:hAnsi="Times New Roman" w:cs="Times New Roman"/>
          <w:b/>
          <w:sz w:val="28"/>
          <w:szCs w:val="28"/>
          <w:lang w:val="uk-UA"/>
        </w:rPr>
        <w:t>108728</w:t>
      </w:r>
      <w:r>
        <w:rPr>
          <w:rFonts w:ascii="Times New Roman" w:hAnsi="Times New Roman" w:cs="Times New Roman"/>
          <w:b/>
          <w:sz w:val="28"/>
          <w:szCs w:val="28"/>
          <w:lang w:val="uk-UA"/>
        </w:rPr>
        <w:t>,00 грн ( один мільйон сто</w:t>
      </w:r>
      <w:r>
        <w:rPr>
          <w:rFonts w:hint="default" w:ascii="Times New Roman" w:hAnsi="Times New Roman" w:cs="Times New Roman"/>
          <w:b/>
          <w:sz w:val="28"/>
          <w:szCs w:val="28"/>
          <w:lang w:val="uk-UA"/>
        </w:rPr>
        <w:t xml:space="preserve"> вісім тисяч сімсот двадцять вісім</w:t>
      </w:r>
      <w:r>
        <w:rPr>
          <w:rFonts w:ascii="Times New Roman" w:hAnsi="Times New Roman" w:cs="Times New Roman"/>
          <w:b/>
          <w:sz w:val="28"/>
          <w:szCs w:val="28"/>
          <w:lang w:val="uk-UA"/>
        </w:rPr>
        <w:t xml:space="preserve"> гривень 00 коп.)</w:t>
      </w:r>
    </w:p>
    <w:p w14:paraId="52CB9CD0">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14:paraId="684BCBB3">
      <w:pPr>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 xml:space="preserve">Очікувана вартість обрахована шляхом моніторингу сайту Прозорро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Pr>
          <w:rFonts w:ascii="Times New Roman" w:hAnsi="Times New Roman" w:cs="Times New Roman"/>
          <w:sz w:val="28"/>
          <w:szCs w:val="28"/>
          <w:lang w:val="uk-UA"/>
        </w:rPr>
        <w:t>^//</w:t>
      </w:r>
      <w:r>
        <w:rPr>
          <w:rFonts w:ascii="Times New Roman" w:hAnsi="Times New Roman" w:cs="Times New Roman"/>
          <w:sz w:val="28"/>
          <w:szCs w:val="28"/>
          <w:lang w:val="en-US"/>
        </w:rPr>
        <w:t>www</w:t>
      </w:r>
      <w:r>
        <w:rPr>
          <w:rFonts w:ascii="Times New Roman" w:hAnsi="Times New Roman" w:cs="Times New Roman"/>
          <w:sz w:val="28"/>
          <w:szCs w:val="28"/>
          <w:lang w:val="uk-UA"/>
        </w:rPr>
        <w:t>.</w:t>
      </w:r>
      <w:r>
        <w:rPr>
          <w:rFonts w:ascii="Times New Roman" w:hAnsi="Times New Roman" w:cs="Times New Roman"/>
          <w:sz w:val="28"/>
          <w:szCs w:val="28"/>
          <w:lang w:val="en-US"/>
        </w:rPr>
        <w:t>oree</w:t>
      </w:r>
      <w:r>
        <w:rPr>
          <w:rFonts w:ascii="Times New Roman" w:hAnsi="Times New Roman" w:cs="Times New Roman"/>
          <w:sz w:val="28"/>
          <w:szCs w:val="28"/>
          <w:lang w:val="uk-UA"/>
        </w:rPr>
        <w:t>.</w:t>
      </w:r>
      <w:r>
        <w:rPr>
          <w:rFonts w:ascii="Times New Roman" w:hAnsi="Times New Roman" w:cs="Times New Roman"/>
          <w:sz w:val="28"/>
          <w:szCs w:val="28"/>
          <w:lang w:val="en-US"/>
        </w:rPr>
        <w:t>com</w:t>
      </w:r>
      <w:r>
        <w:rPr>
          <w:rFonts w:ascii="Times New Roman" w:hAnsi="Times New Roman" w:cs="Times New Roman"/>
          <w:sz w:val="28"/>
          <w:szCs w:val="28"/>
          <w:lang w:val="uk-UA"/>
        </w:rPr>
        <w:t>. Індекси РДН та середньозважені ціни по ОЕС ( об’єднаної енергетичної системи) України за грудень 202</w:t>
      </w:r>
      <w:r>
        <w:rPr>
          <w:rFonts w:hint="default" w:ascii="Times New Roman" w:hAnsi="Times New Roman" w:cs="Times New Roman"/>
          <w:sz w:val="28"/>
          <w:szCs w:val="28"/>
          <w:lang w:val="uk-UA"/>
        </w:rPr>
        <w:t>5</w:t>
      </w:r>
      <w:r>
        <w:rPr>
          <w:rFonts w:ascii="Times New Roman" w:hAnsi="Times New Roman" w:cs="Times New Roman"/>
          <w:sz w:val="28"/>
          <w:szCs w:val="28"/>
          <w:lang w:val="uk-UA"/>
        </w:rPr>
        <w:t xml:space="preserve"> року. </w:t>
      </w:r>
    </w:p>
    <w:p w14:paraId="3ED280B2">
      <w:pPr>
        <w:rPr>
          <w:rFonts w:ascii="Times New Roman" w:hAnsi="Times New Roman" w:cs="Times New Roman"/>
          <w:sz w:val="28"/>
          <w:szCs w:val="28"/>
          <w:lang w:val="uk-UA"/>
        </w:rPr>
      </w:pPr>
    </w:p>
    <w:p w14:paraId="2CA0115F">
      <w:pPr>
        <w:rPr>
          <w:rFonts w:ascii="Times New Roman" w:hAnsi="Times New Roman" w:cs="Times New Roman"/>
          <w:sz w:val="28"/>
          <w:szCs w:val="28"/>
          <w:lang w:val="uk-UA"/>
        </w:rPr>
      </w:pPr>
    </w:p>
    <w:p w14:paraId="13C721C9">
      <w:pPr>
        <w:rPr>
          <w:rFonts w:ascii="Times New Roman" w:hAnsi="Times New Roman" w:cs="Times New Roman"/>
          <w:sz w:val="28"/>
          <w:szCs w:val="28"/>
          <w:lang w:val="uk-UA"/>
        </w:rPr>
      </w:pPr>
    </w:p>
    <w:p w14:paraId="5967DF4E">
      <w:pPr>
        <w:rPr>
          <w:rFonts w:ascii="Times New Roman" w:hAnsi="Times New Roman" w:cs="Times New Roman"/>
          <w:sz w:val="28"/>
          <w:szCs w:val="28"/>
          <w:lang w:val="uk-UA"/>
        </w:rPr>
      </w:pPr>
    </w:p>
    <w:p w14:paraId="00EE9186">
      <w:pPr>
        <w:rPr>
          <w:rFonts w:ascii="Times New Roman" w:hAnsi="Times New Roman" w:cs="Times New Roman"/>
          <w:sz w:val="28"/>
          <w:szCs w:val="28"/>
          <w:lang w:val="uk-UA"/>
        </w:rPr>
      </w:pPr>
    </w:p>
    <w:p w14:paraId="5B518184">
      <w:pPr>
        <w:rPr>
          <w:rFonts w:ascii="Times New Roman" w:hAnsi="Times New Roman" w:cs="Times New Roman"/>
          <w:sz w:val="28"/>
          <w:szCs w:val="28"/>
          <w:lang w:val="uk-UA"/>
        </w:rPr>
      </w:pPr>
    </w:p>
    <w:p w14:paraId="60E29BDD">
      <w:pPr>
        <w:rPr>
          <w:rFonts w:ascii="Times New Roman" w:hAnsi="Times New Roman" w:cs="Times New Roman"/>
          <w:sz w:val="28"/>
          <w:szCs w:val="28"/>
          <w:lang w:val="uk-UA"/>
        </w:rPr>
      </w:pPr>
    </w:p>
    <w:p w14:paraId="70825CB3">
      <w:pPr>
        <w:rPr>
          <w:rFonts w:ascii="Times New Roman" w:hAnsi="Times New Roman" w:cs="Times New Roman"/>
          <w:sz w:val="28"/>
          <w:szCs w:val="28"/>
          <w:lang w:val="uk-UA"/>
        </w:rPr>
      </w:pPr>
    </w:p>
    <w:p w14:paraId="542B430D">
      <w:pPr>
        <w:rPr>
          <w:rFonts w:ascii="Times New Roman" w:hAnsi="Times New Roman" w:cs="Times New Roman"/>
          <w:sz w:val="28"/>
          <w:szCs w:val="28"/>
          <w:lang w:val="uk-UA"/>
        </w:rPr>
      </w:pPr>
    </w:p>
    <w:p w14:paraId="1AB825AA">
      <w:pPr>
        <w:rPr>
          <w:rFonts w:ascii="Times New Roman" w:hAnsi="Times New Roman" w:cs="Times New Roman"/>
          <w:sz w:val="28"/>
          <w:szCs w:val="28"/>
          <w:lang w:val="uk-UA"/>
        </w:rPr>
      </w:pPr>
    </w:p>
    <w:tbl>
      <w:tblPr>
        <w:tblStyle w:val="3"/>
        <w:tblW w:w="6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118"/>
      </w:tblGrid>
      <w:tr w14:paraId="2397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2" w:type="dxa"/>
            <w:tcBorders>
              <w:top w:val="single" w:color="auto" w:sz="4" w:space="0"/>
              <w:left w:val="single" w:color="auto" w:sz="4" w:space="0"/>
              <w:bottom w:val="single" w:color="auto" w:sz="4" w:space="0"/>
              <w:right w:val="single" w:color="auto" w:sz="4" w:space="0"/>
            </w:tcBorders>
          </w:tcPr>
          <w:p w14:paraId="2589995D">
            <w:pPr>
              <w:spacing w:after="0" w:line="240" w:lineRule="auto"/>
              <w:jc w:val="both"/>
              <w:textAlignment w:val="baseline"/>
              <w:rPr>
                <w:rFonts w:ascii="Times New Roman" w:hAnsi="Times New Roman" w:eastAsia="Times New Roman"/>
                <w:sz w:val="24"/>
                <w:szCs w:val="24"/>
                <w:lang w:val="uk-UA"/>
              </w:rPr>
            </w:pPr>
            <w:r>
              <w:rPr>
                <w:rFonts w:ascii="Times New Roman" w:hAnsi="Times New Roman" w:eastAsia="Times New Roman"/>
                <w:sz w:val="24"/>
                <w:szCs w:val="24"/>
                <w:lang w:val="uk-UA"/>
              </w:rPr>
              <w:t>Найменування товару</w:t>
            </w:r>
          </w:p>
        </w:tc>
        <w:tc>
          <w:tcPr>
            <w:tcW w:w="3118" w:type="dxa"/>
            <w:tcBorders>
              <w:top w:val="single" w:color="auto" w:sz="4" w:space="0"/>
              <w:left w:val="single" w:color="auto" w:sz="4" w:space="0"/>
              <w:bottom w:val="single" w:color="auto" w:sz="4" w:space="0"/>
              <w:right w:val="single" w:color="auto" w:sz="4" w:space="0"/>
            </w:tcBorders>
          </w:tcPr>
          <w:p w14:paraId="2ACD5DE0">
            <w:pPr>
              <w:spacing w:after="0" w:line="240" w:lineRule="auto"/>
              <w:jc w:val="both"/>
              <w:textAlignment w:val="baseline"/>
              <w:rPr>
                <w:rFonts w:ascii="Times New Roman" w:hAnsi="Times New Roman" w:eastAsia="Times New Roman"/>
                <w:sz w:val="24"/>
                <w:szCs w:val="24"/>
                <w:lang w:val="uk-UA"/>
              </w:rPr>
            </w:pPr>
            <w:r>
              <w:rPr>
                <w:rFonts w:ascii="Times New Roman" w:hAnsi="Times New Roman" w:eastAsia="Times New Roman"/>
                <w:sz w:val="24"/>
                <w:szCs w:val="24"/>
                <w:lang w:val="uk-UA"/>
              </w:rPr>
              <w:t>Кількість, кВт./год</w:t>
            </w:r>
          </w:p>
        </w:tc>
      </w:tr>
      <w:tr w14:paraId="6DA3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3362" w:type="dxa"/>
            <w:tcBorders>
              <w:top w:val="single" w:color="auto" w:sz="4" w:space="0"/>
              <w:left w:val="single" w:color="auto" w:sz="4" w:space="0"/>
              <w:bottom w:val="single" w:color="auto" w:sz="4" w:space="0"/>
              <w:right w:val="single" w:color="auto" w:sz="4" w:space="0"/>
            </w:tcBorders>
          </w:tcPr>
          <w:p w14:paraId="7A8FD597">
            <w:pPr>
              <w:spacing w:after="0" w:line="240" w:lineRule="auto"/>
              <w:jc w:val="both"/>
              <w:textAlignment w:val="baseline"/>
              <w:rPr>
                <w:rFonts w:ascii="Times New Roman" w:hAnsi="Times New Roman" w:eastAsia="Times New Roman"/>
                <w:sz w:val="24"/>
                <w:szCs w:val="24"/>
                <w:lang w:val="uk-UA"/>
              </w:rPr>
            </w:pPr>
            <w:r>
              <w:rPr>
                <w:rFonts w:ascii="Times New Roman" w:hAnsi="Times New Roman" w:eastAsia="Times New Roman"/>
                <w:sz w:val="24"/>
                <w:szCs w:val="24"/>
                <w:lang w:val="uk-UA"/>
              </w:rPr>
              <w:t>Електрична енергія (з урахуванням затвердженого у встановленому законодавством порядку тарифу на послуги з передачі електричної енергії та вартості послуг з розподілу електричної енергії)</w:t>
            </w:r>
          </w:p>
        </w:tc>
        <w:tc>
          <w:tcPr>
            <w:tcW w:w="3118" w:type="dxa"/>
            <w:tcBorders>
              <w:top w:val="single" w:color="auto" w:sz="4" w:space="0"/>
              <w:left w:val="single" w:color="auto" w:sz="4" w:space="0"/>
              <w:bottom w:val="single" w:color="auto" w:sz="4" w:space="0"/>
              <w:right w:val="single" w:color="auto" w:sz="4" w:space="0"/>
            </w:tcBorders>
          </w:tcPr>
          <w:p w14:paraId="7B01F2B2">
            <w:pPr>
              <w:spacing w:after="0" w:line="240" w:lineRule="auto"/>
              <w:jc w:val="both"/>
              <w:textAlignment w:val="baseline"/>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Лот 1 : </w:t>
            </w:r>
            <w:r>
              <w:rPr>
                <w:rFonts w:hint="default" w:ascii="Times New Roman" w:hAnsi="Times New Roman" w:eastAsia="Times New Roman"/>
                <w:sz w:val="24"/>
                <w:szCs w:val="24"/>
                <w:lang w:val="uk-UA"/>
              </w:rPr>
              <w:t>116500,00</w:t>
            </w:r>
            <w:r>
              <w:rPr>
                <w:rFonts w:ascii="Times New Roman" w:hAnsi="Times New Roman" w:eastAsia="Times New Roman"/>
                <w:sz w:val="24"/>
                <w:szCs w:val="24"/>
                <w:lang w:val="uk-UA"/>
              </w:rPr>
              <w:t xml:space="preserve">  кВт/год</w:t>
            </w:r>
          </w:p>
          <w:p w14:paraId="14C885C9">
            <w:pPr>
              <w:spacing w:after="0" w:line="240" w:lineRule="auto"/>
              <w:jc w:val="both"/>
              <w:textAlignment w:val="baseline"/>
              <w:rPr>
                <w:rFonts w:ascii="Times New Roman" w:hAnsi="Times New Roman" w:eastAsia="Times New Roman"/>
                <w:sz w:val="24"/>
                <w:szCs w:val="24"/>
                <w:lang w:val="uk-UA"/>
              </w:rPr>
            </w:pPr>
          </w:p>
          <w:p w14:paraId="6BC131E1">
            <w:pPr>
              <w:spacing w:after="0" w:line="240" w:lineRule="auto"/>
              <w:jc w:val="both"/>
              <w:textAlignment w:val="baseline"/>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Лот 2: </w:t>
            </w:r>
            <w:r>
              <w:rPr>
                <w:rFonts w:hint="default" w:ascii="Times New Roman" w:hAnsi="Times New Roman" w:eastAsia="Times New Roman"/>
                <w:sz w:val="24"/>
                <w:szCs w:val="24"/>
                <w:lang w:val="uk-UA"/>
              </w:rPr>
              <w:t>256650</w:t>
            </w:r>
            <w:bookmarkStart w:id="0" w:name="_GoBack"/>
            <w:bookmarkEnd w:id="0"/>
            <w:r>
              <w:rPr>
                <w:rFonts w:ascii="Times New Roman" w:hAnsi="Times New Roman" w:eastAsia="Times New Roman"/>
                <w:sz w:val="24"/>
                <w:szCs w:val="24"/>
                <w:lang w:val="uk-UA"/>
              </w:rPr>
              <w:t>,00  кВт/год</w:t>
            </w:r>
          </w:p>
        </w:tc>
      </w:tr>
    </w:tbl>
    <w:p w14:paraId="333E99BF">
      <w:pPr>
        <w:spacing w:after="0" w:line="24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Умови постачання електричної енергії замовнику повинні відповідати наступним нормативно-правовим актам:</w:t>
      </w:r>
    </w:p>
    <w:p w14:paraId="039D0BD5">
      <w:pPr>
        <w:spacing w:after="0" w:line="24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Закону України «Про ринок електричної енергії»;</w:t>
      </w:r>
    </w:p>
    <w:p w14:paraId="3ADB9CE2">
      <w:pPr>
        <w:spacing w:after="0" w:line="24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Правилам роздрібного ринку електричної енергії (затверджені постановою НКРЕКП від 14.03.2018 р. № 312).</w:t>
      </w:r>
    </w:p>
    <w:p w14:paraId="161E4DEA">
      <w:pPr>
        <w:spacing w:after="0" w:line="24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іншим нормативно-правовим актам, прийнятим на виконання Закону України «Про ринок електричної енергії».</w:t>
      </w:r>
    </w:p>
    <w:p w14:paraId="239FCC3F">
      <w:pPr>
        <w:spacing w:after="0" w:line="240" w:lineRule="auto"/>
        <w:ind w:firstLine="708"/>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 Відповідно до положень пункту 11.4.6 глави 11.4 розділу XI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зобов’язується дотримуватись якості надання послуг електропостачальника та згідно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 В тому числі постачальник зобов'язується забезпечити комерційну якість послуг, які надаються споживачу за договором про постачання електричної енергії споживачу,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446B563E">
      <w:pPr>
        <w:rPr>
          <w:rFonts w:ascii="Times New Roman" w:hAnsi="Times New Roman" w:cs="Times New Roman"/>
          <w:sz w:val="28"/>
          <w:szCs w:val="28"/>
          <w:lang w:val="uk-UA"/>
        </w:rPr>
      </w:pPr>
    </w:p>
    <w:p w14:paraId="64D85BB1">
      <w:pPr>
        <w:rPr>
          <w:rFonts w:ascii="Times New Roman" w:hAnsi="Times New Roman" w:cs="Times New Roman"/>
          <w:sz w:val="28"/>
          <w:szCs w:val="28"/>
          <w:lang w:val="uk-UA"/>
        </w:rPr>
      </w:pPr>
    </w:p>
    <w:p w14:paraId="5B4286F7">
      <w:pPr>
        <w:rPr>
          <w:rFonts w:ascii="Times New Roman" w:hAnsi="Times New Roman" w:cs="Times New Roman"/>
          <w:sz w:val="28"/>
          <w:szCs w:val="28"/>
          <w:lang w:val="uk-UA"/>
        </w:rPr>
      </w:pPr>
    </w:p>
    <w:p w14:paraId="2240A0A0">
      <w:pPr>
        <w:rPr>
          <w:rFonts w:ascii="Times New Roman" w:hAnsi="Times New Roman" w:cs="Times New Roman"/>
          <w:sz w:val="28"/>
          <w:szCs w:val="28"/>
          <w:lang w:val="uk-UA"/>
        </w:rPr>
      </w:pPr>
    </w:p>
    <w:p w14:paraId="245EED5F">
      <w:pPr>
        <w:rPr>
          <w:rFonts w:ascii="Times New Roman" w:hAnsi="Times New Roman" w:cs="Times New Roman"/>
          <w:sz w:val="28"/>
          <w:szCs w:val="28"/>
          <w:lang w:val="uk-UA"/>
        </w:rPr>
      </w:pPr>
    </w:p>
    <w:p w14:paraId="68C527C8">
      <w:pPr>
        <w:rPr>
          <w:rFonts w:ascii="Times New Roman" w:hAnsi="Times New Roman" w:cs="Times New Roman"/>
          <w:sz w:val="28"/>
          <w:szCs w:val="28"/>
          <w:lang w:val="uk-UA"/>
        </w:rPr>
      </w:pPr>
    </w:p>
    <w:p w14:paraId="6E940E6D">
      <w:pPr>
        <w:rPr>
          <w:rFonts w:ascii="Times New Roman" w:hAnsi="Times New Roman" w:cs="Times New Roman"/>
          <w:sz w:val="28"/>
          <w:szCs w:val="28"/>
          <w:lang w:val="uk-UA"/>
        </w:rPr>
      </w:pPr>
    </w:p>
    <w:p w14:paraId="40FA6595">
      <w:pPr>
        <w:rPr>
          <w:rFonts w:ascii="Times New Roman" w:hAnsi="Times New Roman" w:cs="Times New Roman"/>
          <w:sz w:val="28"/>
          <w:szCs w:val="28"/>
          <w:lang w:val="uk-UA"/>
        </w:rPr>
      </w:pPr>
    </w:p>
    <w:p w14:paraId="6117D3E0">
      <w:pPr>
        <w:rPr>
          <w:rFonts w:ascii="Times New Roman" w:hAnsi="Times New Roman" w:cs="Times New Roman"/>
          <w:sz w:val="28"/>
          <w:szCs w:val="28"/>
          <w:lang w:val="uk-UA"/>
        </w:rPr>
      </w:pPr>
    </w:p>
    <w:p w14:paraId="6A2834E7">
      <w:pPr>
        <w:rPr>
          <w:rFonts w:ascii="Times New Roman" w:hAnsi="Times New Roman" w:cs="Times New Roman"/>
          <w:sz w:val="28"/>
          <w:szCs w:val="28"/>
          <w:lang w:val="uk-UA"/>
        </w:rPr>
      </w:pPr>
    </w:p>
    <w:p w14:paraId="23827DC7">
      <w:pPr>
        <w:rPr>
          <w:rFonts w:ascii="Times New Roman" w:hAnsi="Times New Roman" w:cs="Times New Roman"/>
          <w:sz w:val="28"/>
          <w:szCs w:val="28"/>
          <w:lang w:val="uk-UA"/>
        </w:rPr>
      </w:pPr>
    </w:p>
    <w:p w14:paraId="601FF86F">
      <w:pPr>
        <w:rPr>
          <w:rFonts w:ascii="Times New Roman" w:hAnsi="Times New Roman" w:cs="Times New Roman"/>
          <w:sz w:val="28"/>
          <w:szCs w:val="28"/>
          <w:lang w:val="uk-UA"/>
        </w:rPr>
      </w:pPr>
    </w:p>
    <w:p w14:paraId="458A9C8E">
      <w:pPr>
        <w:rPr>
          <w:rFonts w:ascii="Times New Roman" w:hAnsi="Times New Roman" w:cs="Times New Roman"/>
          <w:sz w:val="28"/>
          <w:szCs w:val="28"/>
          <w:lang w:val="uk-UA"/>
        </w:rPr>
      </w:pPr>
    </w:p>
    <w:p w14:paraId="71A4D271">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81F46"/>
    <w:rsid w:val="000B729C"/>
    <w:rsid w:val="00143DE4"/>
    <w:rsid w:val="00176899"/>
    <w:rsid w:val="00181DBC"/>
    <w:rsid w:val="001830A4"/>
    <w:rsid w:val="00195D95"/>
    <w:rsid w:val="001E12B4"/>
    <w:rsid w:val="001E7E3C"/>
    <w:rsid w:val="00213852"/>
    <w:rsid w:val="0025644C"/>
    <w:rsid w:val="002B5800"/>
    <w:rsid w:val="002C566D"/>
    <w:rsid w:val="002E593D"/>
    <w:rsid w:val="00340BCD"/>
    <w:rsid w:val="00372ADC"/>
    <w:rsid w:val="003B219B"/>
    <w:rsid w:val="003B46AA"/>
    <w:rsid w:val="003F1A46"/>
    <w:rsid w:val="0046641A"/>
    <w:rsid w:val="0047038F"/>
    <w:rsid w:val="00480F42"/>
    <w:rsid w:val="004B12E9"/>
    <w:rsid w:val="00512ADF"/>
    <w:rsid w:val="005363EB"/>
    <w:rsid w:val="00542C8C"/>
    <w:rsid w:val="00592C1F"/>
    <w:rsid w:val="005B4525"/>
    <w:rsid w:val="006D7BA8"/>
    <w:rsid w:val="007102F6"/>
    <w:rsid w:val="00731D52"/>
    <w:rsid w:val="00740A71"/>
    <w:rsid w:val="007B7200"/>
    <w:rsid w:val="007C4DFB"/>
    <w:rsid w:val="0082576D"/>
    <w:rsid w:val="00837426"/>
    <w:rsid w:val="0085252A"/>
    <w:rsid w:val="0088271B"/>
    <w:rsid w:val="008A2356"/>
    <w:rsid w:val="008D0D0E"/>
    <w:rsid w:val="00967045"/>
    <w:rsid w:val="00974FCC"/>
    <w:rsid w:val="009B153E"/>
    <w:rsid w:val="009E1C5C"/>
    <w:rsid w:val="009F7DF9"/>
    <w:rsid w:val="00A203B3"/>
    <w:rsid w:val="00AA4BB0"/>
    <w:rsid w:val="00AE324E"/>
    <w:rsid w:val="00AF0F16"/>
    <w:rsid w:val="00B4041F"/>
    <w:rsid w:val="00B97F1D"/>
    <w:rsid w:val="00BA0309"/>
    <w:rsid w:val="00BA4E57"/>
    <w:rsid w:val="00BE41B7"/>
    <w:rsid w:val="00C30CA4"/>
    <w:rsid w:val="00C86FDF"/>
    <w:rsid w:val="00CA12B0"/>
    <w:rsid w:val="00D03002"/>
    <w:rsid w:val="00D351D2"/>
    <w:rsid w:val="00D71690"/>
    <w:rsid w:val="00DB2CBA"/>
    <w:rsid w:val="00E22B32"/>
    <w:rsid w:val="00E4577C"/>
    <w:rsid w:val="00E768F0"/>
    <w:rsid w:val="00EC213F"/>
    <w:rsid w:val="00F6029E"/>
    <w:rsid w:val="00F9084B"/>
    <w:rsid w:val="00FB544F"/>
    <w:rsid w:val="00FF360A"/>
    <w:rsid w:val="320C33C4"/>
    <w:rsid w:val="32C67FEF"/>
    <w:rsid w:val="443D443E"/>
    <w:rsid w:val="6CE4435D"/>
    <w:rsid w:val="6D6B29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2384</Words>
  <Characters>1360</Characters>
  <Lines>11</Lines>
  <Paragraphs>7</Paragraphs>
  <TotalTime>209</TotalTime>
  <ScaleCrop>false</ScaleCrop>
  <LinksUpToDate>false</LinksUpToDate>
  <CharactersWithSpaces>3737</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2023-02-17T09:16:00Z</dcterms:created>
  <dc:creator>TEST</dc:creator>
  <cp:lastModifiedBy>User</cp:lastModifiedBy>
  <dcterms:modified xsi:type="dcterms:W3CDTF">2026-02-06T10:41:40Z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632B197E3CF54DF88F2C91F94666A5B6_12</vt:lpwstr>
  </property>
</Properties>
</file>